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27</w:t>
      </w:r>
      <w:r>
        <w:rPr>
          <w:rFonts w:ascii="Times New Roman" w:hAnsi="Times New Roman"/>
          <w:b w:val="1"/>
          <w:sz w:val="24"/>
        </w:rPr>
        <w:t>.  Representative payee.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lang w:val="en-US" w:bidi="en-US" w:eastAsia="en-US"/>
        </w:rPr>
        <w:t>shared living provider</w:t>
      </w:r>
      <w:r>
        <w:rPr>
          <w:rFonts w:ascii="Times New Roman" w:hAnsi="Times New Roman"/>
          <w:sz w:val="24"/>
          <w:lang w:val="en-US" w:bidi="en-US" w:eastAsia="en-US"/>
        </w:rPr>
        <w:t xml:space="preserve"> may not be the representative payee for the participant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46 SDR 66, effective November 27, 2019</w:t>
      </w:r>
      <w:r>
        <w:rPr>
          <w:rFonts w:ascii="Times New Roman" w:hAnsi="Times New Roman"/>
          <w:sz w:val="24"/>
          <w:lang w:val="en-US" w:bidi="en-US" w:eastAsia="en-US"/>
        </w:rPr>
        <w:t>; 49 SDR 48, effective No</w:t>
      </w:r>
      <w:r>
        <w:rPr>
          <w:rFonts w:ascii="Times New Roman" w:hAnsi="Times New Roman"/>
          <w:sz w:val="24"/>
          <w:lang w:val="en-US" w:bidi="en-US" w:eastAsia="en-US"/>
        </w:rPr>
        <w:t>vember 22,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27B-2-26(2)(4)(9)(10).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27B-2-26(2)(4).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2022-11-22T21:36:01Z</dcterms:modified>
  <cp:revision>9</cp:revision>
</cp:coreProperties>
</file>