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FA8A1C3" Type="http://schemas.openxmlformats.org/officeDocument/2006/relationships/officeDocument" Target="/word/document.xml" /><Relationship Id="coreR3FA8A1C3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39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08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Credit for general coursework earned in related educational programs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 licensed cosmetologist, nail technician, or esthetician seeking a barber certificate may be granted maximum credit for related hours and curriculum earned in another educational program as shown below: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General infection control; implements and equipment; first aid; blood exposure standards: 90 hours;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Professional standards and development;</w:t>
      </w:r>
      <w:r>
        <w:rPr>
          <w:rFonts w:ascii="Times New Roman" w:hAnsi="Times New Roman"/>
          <w:sz w:val="24"/>
        </w:rPr>
        <w:t xml:space="preserve"> effective communication; business practices; and state laws and rules: </w:t>
      </w:r>
      <w:r>
        <w:rPr>
          <w:rFonts w:ascii="Times New Roman" w:hAnsi="Times New Roman"/>
          <w:sz w:val="24"/>
        </w:rPr>
        <w:t>60 hours;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Scientific fundamentals, including hygiene; bacteriology; anatomy; chemistry; electricity; diseases of the skin and hair; massaging and manipulating the muscles of the upper body: 200 hours;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Principles of hair design, scalp care, shampooing, haircutting and hairstyling: </w:t>
      </w:r>
      <w:r>
        <w:rPr>
          <w:rFonts w:ascii="Times New Roman" w:hAnsi="Times New Roman"/>
          <w:sz w:val="24"/>
        </w:rPr>
        <w:t>300 hours;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Chemical hair services, including chemical texture services; and hair coloring: 280 hours;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Shaving, including care and use of a straight-edge razor: 130 hours;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Skin sciences, including physiology and histology of the skin; skin care products; chemistry, ingredients and selection:</w:t>
      </w:r>
      <w:r>
        <w:rPr>
          <w:rFonts w:ascii="Times New Roman" w:hAnsi="Times New Roman"/>
          <w:sz w:val="24"/>
        </w:rPr>
        <w:t xml:space="preserve"> 70 hours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8, effective August 3, 2020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36-14-7.1, 36-14-9.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36-14-7.1, 36-14-17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2020-07-21T20:19:16Z</dcterms:modified>
  <cp:revision>6</cp:revision>
</cp:coreProperties>
</file>