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9954499" Type="http://schemas.openxmlformats.org/officeDocument/2006/relationships/officeDocument" Target="/word/document.xml" /><Relationship Id="coreR5995449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2</w:t>
      </w:r>
      <w:r>
        <w:rPr>
          <w:rFonts w:ascii="Times New Roman" w:hAnsi="Times New Roman"/>
          <w:b w:val="1"/>
          <w:sz w:val="24"/>
          <w:lang w:val="en-US" w:bidi="en-US" w:eastAsia="en-US"/>
        </w:rPr>
        <w:t>0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39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03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10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</w:rPr>
        <w:t>Instructor requirements for initial licensure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To receive an instructor license, the applicant shall: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Possess a South Dakota barber certificate of registration;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Complete at least one year of licensed barber experience;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Complete at least 500 hours of instructor training to include methods of teaching, student barber services, and clinic floor management, of which 100 hundred hours must be instructing experience in a licensed barber school under the direct supervision of a licensed barber instructor;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Passage of a board-approved instructor theory examination.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47 SDR 8, effective August 3, 2020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36-14-9.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36-14-9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Rhonda Purkapile</cp:lastModifiedBy>
  <dcterms:modified xsi:type="dcterms:W3CDTF">2020-07-21T20:24:49Z</dcterms:modified>
  <cp:revision>7</cp:revision>
</cp:coreProperties>
</file>