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6BDAEB" Type="http://schemas.openxmlformats.org/officeDocument/2006/relationships/officeDocument" Target="/word/document.xml" /><Relationship Id="coreRB6BDAE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39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Substitute instructors.</w:t>
      </w:r>
      <w:r>
        <w:rPr>
          <w:rFonts w:ascii="Times New Roman" w:hAnsi="Times New Roman"/>
          <w:sz w:val="24"/>
        </w:rPr>
        <w:t xml:space="preserve"> A barber school licensed by the board may hire a substitute instructor if: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individual is a registered barber in this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substitute instructor instructs 80 hours or less during a calendar year;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barber school notifies the board office as soon as the emergency need arises with the name of the substitute instructor and the hours the substitute will be instructing.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substitute instructor may not be otherwise employed by the school.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8, effective August 21, 1977; 12 SDR 151, 12 SDR 155, effective July 1, 1986; 46 SDR 64, effective November 25, 2019;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transferred from § 20:39:03:01.01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36-14-9(2).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36-14-9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2020-07-21T20:39:59Z</dcterms:modified>
  <cp:revision>8</cp:revision>
</cp:coreProperties>
</file>