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BF154AB" Type="http://schemas.openxmlformats.org/officeDocument/2006/relationships/officeDocument" Target="/word/document.xml" /><Relationship Id="coreR3BF154A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Student barber practice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Student barber practice must meet the following conditions: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Each school shall place a sign, either on the front window or extending above the front door, giving the name of the school and stating that it is a school or college of barbering;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No school may advertise that the school is a barber shop;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No commissions in any form may be paid by the school to students;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sign must be displayed inside the school near the entrance indicating that all work done in the school is done by students.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47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</w:t>
      </w:r>
      <w:r>
        <w:rPr>
          <w:rFonts w:ascii="Times New Roman" w:hAnsi="Times New Roman"/>
          <w:sz w:val="24"/>
          <w:lang w:val="en-US" w:bidi="en-US" w:eastAsia="en-US"/>
        </w:rPr>
        <w:t>9, 36-14-17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2020-07-21T20:35:55Z</dcterms:modified>
  <cp:revision>7</cp:revision>
</cp:coreProperties>
</file>