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37A390A" Type="http://schemas.openxmlformats.org/officeDocument/2006/relationships/officeDocument" Target="/word/document.xml" /><Relationship Id="coreR637A390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10.01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Notice of suspension or debarment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secretary shall notify the business of the intent to suspend or debar. The notice must inform the business of the right to request a hearing prior to imposition of suspension or debarment and must include an explanation of the procedure for requesting a hearing. The notice must be sent by certified mail to the address on record with the department. The secretary shall send notice of intent to disbar within 60 days after a suspension order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38,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31-5-10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2020-09-29T16:40:40Z</dcterms:modified>
  <cp:revision>7</cp:revision>
</cp:coreProperties>
</file>