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5645978C" Type="http://schemas.openxmlformats.org/officeDocument/2006/relationships/officeDocument" Target="/word/document.xml" /><Relationship Id="coreR5645978C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7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10.02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  <w:lang w:val="en-US" w:bidi="en-US" w:eastAsia="en-US"/>
        </w:rPr>
        <w:t>Hearing request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To request a hearing, the person shall submit a written request to the secretary. A mailed hearing request must be postmarked or an electronic hearing request must be received within twenty days following the date of the notice to suspend or debar.  Upon receipt of a request for hearing, the secretary shall issue a notice of hearing pursuant to SDCL chapter 1-26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47 SDR 38, effective October 6,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31-5-10.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31-5-10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2020-09-29T16:42:55Z</dcterms:modified>
  <cp:revision>7</cp:revision>
</cp:coreProperties>
</file>