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3CF68FC" Type="http://schemas.openxmlformats.org/officeDocument/2006/relationships/officeDocument" Target="/word/document.xml" /><Relationship Id="coreR13CF68F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Activities eligible for credit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activity is eligible for credit if it relates to the practice of psychology and either: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</w:t>
      </w:r>
      <w:r>
        <w:rPr>
          <w:rFonts w:ascii="Times New Roman" w:hAnsi="Times New Roman"/>
          <w:sz w:val="24"/>
        </w:rPr>
        <w:t>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Improves or maintains the licensee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s professional skills; or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</w:t>
      </w:r>
      <w:r>
        <w:rPr>
          <w:rFonts w:ascii="Times New Roman" w:hAnsi="Times New Roman"/>
          <w:sz w:val="24"/>
        </w:rPr>
        <w:t>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Broadens or refreshes the licensee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knowledge of governing laws, rules or ethical standards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36-27A-26.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36-27A-26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2020-10-02T16:48:18Z</dcterms:modified>
  <cp:revision>7</cp:revision>
</cp:coreProperties>
</file>