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7BAFC9ED" Type="http://schemas.openxmlformats.org/officeDocument/2006/relationships/officeDocument" Target="/word/document.xml" /><Relationship Id="coreR7BAFC9ED"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lang w:val="en-US" w:bidi="en-US" w:eastAsia="en-US"/>
        </w:rPr>
        <w:t>2</w:t>
      </w:r>
      <w:r>
        <w:rPr>
          <w:rFonts w:ascii="Times New Roman" w:hAnsi="Times New Roman"/>
          <w:b w:val="1"/>
          <w:sz w:val="24"/>
          <w:lang w:val="en-US" w:bidi="en-US" w:eastAsia="en-US"/>
        </w:rPr>
        <w:t>0</w:t>
      </w:r>
      <w:r>
        <w:rPr>
          <w:rFonts w:ascii="Times New Roman" w:hAnsi="Times New Roman"/>
          <w:b w:val="1"/>
          <w:sz w:val="24"/>
        </w:rPr>
        <w:t>:</w:t>
      </w:r>
      <w:r>
        <w:rPr>
          <w:rFonts w:ascii="Times New Roman" w:hAnsi="Times New Roman"/>
          <w:b w:val="1"/>
          <w:sz w:val="24"/>
          <w:lang w:val="en-US" w:bidi="en-US" w:eastAsia="en-US"/>
        </w:rPr>
        <w:t>60</w:t>
      </w:r>
      <w:r>
        <w:rPr>
          <w:rFonts w:ascii="Times New Roman" w:hAnsi="Times New Roman"/>
          <w:b w:val="1"/>
          <w:sz w:val="24"/>
        </w:rPr>
        <w:t>:</w:t>
      </w:r>
      <w:r>
        <w:rPr>
          <w:rFonts w:ascii="Times New Roman" w:hAnsi="Times New Roman"/>
          <w:b w:val="1"/>
          <w:sz w:val="24"/>
          <w:lang w:val="en-US" w:bidi="en-US" w:eastAsia="en-US"/>
        </w:rPr>
        <w:t>10</w:t>
      </w:r>
      <w:r>
        <w:rPr>
          <w:rFonts w:ascii="Times New Roman" w:hAnsi="Times New Roman"/>
          <w:b w:val="1"/>
          <w:sz w:val="24"/>
        </w:rPr>
        <w:t>:</w:t>
      </w:r>
      <w:r>
        <w:rPr>
          <w:rFonts w:ascii="Times New Roman" w:hAnsi="Times New Roman"/>
          <w:b w:val="1"/>
          <w:sz w:val="24"/>
          <w:lang w:val="en-US" w:bidi="en-US" w:eastAsia="en-US"/>
        </w:rPr>
        <w:t>04</w:t>
      </w:r>
      <w:r>
        <w:rPr>
          <w:rFonts w:ascii="Times New Roman" w:hAnsi="Times New Roman"/>
          <w:b w:val="1"/>
          <w:sz w:val="24"/>
        </w:rPr>
        <w:t>.  </w:t>
      </w:r>
      <w:r>
        <w:rPr>
          <w:rFonts w:ascii="Times New Roman" w:hAnsi="Times New Roman"/>
          <w:b w:val="1"/>
          <w:sz w:val="24"/>
        </w:rPr>
        <w:t>Request for exemption</w:t>
      </w:r>
      <w:r>
        <w:rPr>
          <w:rFonts w:ascii="Times New Roman" w:hAnsi="Times New Roman"/>
          <w:b w:val="1"/>
          <w:sz w:val="24"/>
        </w:rPr>
        <w:t>.</w:t>
      </w:r>
      <w:r>
        <w:rPr>
          <w:rFonts w:ascii="Times New Roman" w:hAnsi="Times New Roman"/>
          <w:sz w:val="24"/>
        </w:rPr>
        <w:t xml:space="preserve"> </w:t>
      </w:r>
      <w:r>
        <w:rPr>
          <w:rFonts w:ascii="Times New Roman" w:hAnsi="Times New Roman"/>
          <w:sz w:val="24"/>
        </w:rPr>
        <w:t>A licensee may request a waiver of the continuing education unit requirement of §</w:t>
      </w:r>
      <w:r>
        <w:rPr>
          <w:rFonts w:ascii="Times New Roman" w:hAnsi="Times New Roman"/>
          <w:sz w:val="24"/>
          <w:lang w:val="en-US" w:bidi="en-US" w:eastAsia="en-US"/>
        </w:rPr>
        <w:t> </w:t>
      </w:r>
      <w:r>
        <w:rPr>
          <w:rFonts w:ascii="Times New Roman" w:hAnsi="Times New Roman"/>
          <w:sz w:val="24"/>
        </w:rPr>
        <w:t>20:60:10:03 by applying in writing to the board. The application must contain the reasons for the request and supporting documentation. The board may waive any part of the continuing education unit requirement for the following reasons: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r>
      <w:r>
        <w:rPr>
          <w:rFonts w:ascii="Times New Roman" w:hAnsi="Times New Roman"/>
          <w:sz w:val="24"/>
        </w:rPr>
        <w:t>(1)</w:t>
      </w:r>
      <w:r>
        <w:rPr>
          <w:rFonts w:ascii="Times New Roman" w:hAnsi="Times New Roman"/>
          <w:sz w:val="24"/>
          <w:lang w:val="en-US" w:bidi="en-US" w:eastAsia="en-US"/>
        </w:rPr>
        <w:t>  </w:t>
      </w:r>
      <w:r>
        <w:rPr>
          <w:rFonts w:ascii="Times New Roman" w:hAnsi="Times New Roman"/>
          <w:sz w:val="24"/>
        </w:rPr>
        <w:t>The licensee served active duty in the armed forces of the United States during any part of the annual licensure period;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r>
      <w:r>
        <w:rPr>
          <w:rFonts w:ascii="Times New Roman" w:hAnsi="Times New Roman"/>
          <w:sz w:val="24"/>
        </w:rPr>
        <w:t>(2)</w:t>
      </w:r>
      <w:r>
        <w:rPr>
          <w:rFonts w:ascii="Times New Roman" w:hAnsi="Times New Roman"/>
          <w:sz w:val="24"/>
          <w:lang w:val="en-US" w:bidi="en-US" w:eastAsia="en-US"/>
        </w:rPr>
        <w:t>  </w:t>
      </w:r>
      <w:r>
        <w:rPr>
          <w:rFonts w:ascii="Times New Roman" w:hAnsi="Times New Roman"/>
          <w:sz w:val="24"/>
        </w:rPr>
        <w:t>The licensee has an incapacitating illness or disability documented by a licensed physician;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r>
      <w:r>
        <w:rPr>
          <w:rFonts w:ascii="Times New Roman" w:hAnsi="Times New Roman"/>
          <w:sz w:val="24"/>
        </w:rPr>
        <w:t>(3)</w:t>
      </w:r>
      <w:r>
        <w:rPr>
          <w:rFonts w:ascii="Times New Roman" w:hAnsi="Times New Roman"/>
          <w:sz w:val="24"/>
          <w:lang w:val="en-US" w:bidi="en-US" w:eastAsia="en-US"/>
        </w:rPr>
        <w:t>  </w:t>
      </w:r>
      <w:r>
        <w:rPr>
          <w:rFonts w:ascii="Times New Roman" w:hAnsi="Times New Roman"/>
          <w:sz w:val="24"/>
        </w:rPr>
        <w:t>Other facts and circumstances presented by a licensee that the board, in its discretion, concludes prevented the licensee from completing the continuing education unit requirement.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r>
      <w:r>
        <w:rPr>
          <w:rFonts w:ascii="Times New Roman" w:hAnsi="Times New Roman"/>
          <w:sz w:val="24"/>
        </w:rPr>
        <w:t>All requests under this section will be considered by the board and evaluated on an individual basis.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w:t>
      </w:r>
      <w:r>
        <w:rPr>
          <w:rFonts w:ascii="Times New Roman" w:hAnsi="Times New Roman"/>
          <w:sz w:val="24"/>
        </w:rPr>
        <w:t>47 SDR 42, effective October 14, 2020</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w:t>
      </w:r>
      <w:r>
        <w:rPr>
          <w:rFonts w:ascii="Times New Roman" w:hAnsi="Times New Roman"/>
          <w:sz w:val="24"/>
          <w:lang w:val="en-US" w:bidi="en-US" w:eastAsia="en-US"/>
        </w:rPr>
        <w:t>36-27A-26.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w:t>
      </w:r>
      <w:r>
        <w:rPr>
          <w:rFonts w:ascii="Times New Roman" w:hAnsi="Times New Roman"/>
          <w:sz w:val="24"/>
          <w:lang w:val="en-US" w:bidi="en-US" w:eastAsia="en-US"/>
        </w:rPr>
        <w:t>36-27A-26</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76" w:before="0" w:after="200" w:beforeAutospacing="0" w:afterAutospacing="0"/>
        <w:ind w:firstLine="0" w:left="0" w:right="0"/>
        <w:contextualSpacing w:val="0"/>
        <w:jc w:val="left"/>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Rhonda Purkapile</cp:lastModifiedBy>
  <dcterms:modified xsi:type="dcterms:W3CDTF">2020-10-02T16:54:58Z</dcterms:modified>
  <cp:revision>7</cp:revision>
</cp:coreProperties>
</file>