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AA4BFAF" Type="http://schemas.openxmlformats.org/officeDocument/2006/relationships/officeDocument" Target="/word/document.xml" /><Relationship Id="coreR1AA4BFAF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</w:t>
      </w:r>
      <w:r>
        <w:rPr>
          <w:rFonts w:ascii="Times New Roman" w:hAnsi="Times New Roman"/>
          <w:b w:val="1"/>
          <w:sz w:val="24"/>
          <w:lang w:val="en-US" w:bidi="en-US" w:eastAsia="en-US"/>
        </w:rPr>
        <w:t>0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68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06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  <w:lang w:val="en-US" w:bidi="en-US" w:eastAsia="en-US"/>
        </w:rPr>
        <w:t>Definitions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Terms defined in SDCL chapter 36-32 have the same meaning when used in this article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47 SDR 42, effective October 14, 2020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36-32-47.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36-32-47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Rhonda Purkapile</cp:lastModifiedBy>
  <dcterms:modified xsi:type="dcterms:W3CDTF">2020-10-06T16:13:10Z</dcterms:modified>
  <cp:revision>7</cp:revision>
</cp:coreProperties>
</file>