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DDD91C8" Type="http://schemas.openxmlformats.org/officeDocument/2006/relationships/officeDocument" Target="/word/document.xml" /><Relationship Id="coreR7DDD91C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Application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application for a license, temporary license, renewal of license, inactive license, or reactivated license must be made in writing on a form prescribed by the board. </w:t>
      </w:r>
      <w:r>
        <w:rPr>
          <w:rFonts w:ascii="Times New Roman" w:hAnsi="Times New Roman"/>
          <w:sz w:val="24"/>
        </w:rPr>
        <w:t xml:space="preserve">The applicable application fee and license fee must be submitted with the application. </w:t>
      </w:r>
      <w:r>
        <w:rPr>
          <w:rFonts w:ascii="Times New Roman" w:hAnsi="Times New Roman"/>
          <w:sz w:val="24"/>
        </w:rPr>
        <w:t>The application fee is non-refundable.</w:t>
      </w:r>
      <w:r>
        <w:rPr>
          <w:rFonts w:ascii="Times New Roman" w:hAnsi="Times New Roman"/>
          <w:sz w:val="24"/>
        </w:rPr>
        <w:t xml:space="preserve"> The licensee fee is refundable if the application is withdrawn or denied.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applicant shall verify under the penalties of perjury that all the information submitted on an application is true and correct.</w:t>
      </w:r>
      <w:r>
        <w:rPr>
          <w:rFonts w:ascii="Times New Roman" w:hAnsi="Times New Roman"/>
          <w:sz w:val="24"/>
        </w:rPr>
        <w:t xml:space="preserve"> An applicant who submits an application electronically agrees the submission of the application serves as the applicant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signature and verification of the information on the application.</w:t>
      </w:r>
      <w:r>
        <w:rPr>
          <w:rFonts w:ascii="Times New Roman" w:hAnsi="Times New Roman"/>
          <w:sz w:val="24"/>
        </w:rPr>
        <w:t xml:space="preserve"> The applicant may be required to clarify or provide additional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application is not complete until the required documentation and fees are received by the board.</w:t>
      </w:r>
      <w:r>
        <w:rPr>
          <w:rFonts w:ascii="Times New Roman" w:hAnsi="Times New Roman"/>
          <w:sz w:val="24"/>
        </w:rPr>
        <w:t xml:space="preserve"> The board may return an application that remains incomplete one year after the initial submission of the application.</w:t>
      </w:r>
      <w:r>
        <w:rPr>
          <w:rFonts w:ascii="Times New Roman" w:hAnsi="Times New Roman"/>
          <w:sz w:val="24"/>
        </w:rPr>
        <w:t xml:space="preserve"> Materials received by the board from a third party may not be returned to the applicant. </w:t>
      </w:r>
      <w:r>
        <w:rPr>
          <w:rFonts w:ascii="Times New Roman" w:hAnsi="Times New Roman"/>
          <w:sz w:val="24"/>
        </w:rPr>
        <w:t>A returned application is considered to be withdrawn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36-32-64, 36-32-67, 36-32-68,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2020-10-06T16:16:30Z</dcterms:modified>
  <cp:revision>7</cp:revision>
</cp:coreProperties>
</file>