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B2FD20" Type="http://schemas.openxmlformats.org/officeDocument/2006/relationships/officeDocument" Target="/word/document.xml" /><Relationship Id="coreR6B2FD2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denial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application may be denied for failure to meet the applicable licensure requirements or for any reasons set forth in SDCL 36-32-83.  The board shall inform the applicant, in writing, of its reasons for denial. </w:t>
      </w:r>
      <w:r>
        <w:rPr>
          <w:rFonts w:ascii="Times New Roman" w:hAnsi="Times New Roman"/>
          <w:sz w:val="24"/>
        </w:rPr>
        <w:t>An applicant whose application is denied is entitled to a hearing pursuant to SDCL chapter 1-26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36-32-64, 36-32-67, 36-32-68,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2020-10-06T16:18:44Z</dcterms:modified>
  <cp:revision>7</cp:revision>
</cp:coreProperties>
</file>