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4A31C0" Type="http://schemas.openxmlformats.org/officeDocument/2006/relationships/officeDocument" Target="/word/document.xml" /><Relationship Id="coreR114A31C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professional counselor by endorsement -- Applicant licensed in another state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licensed in another state for a minimum of three continuous years may apply for a license to practice counseling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application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Counselor Examination administered by the National Board for Certified Counselors;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V</w:t>
      </w:r>
      <w:r>
        <w:rPr>
          <w:rFonts w:ascii="Times New Roman" w:hAnsi="Times New Roman"/>
          <w:sz w:val="24"/>
        </w:rPr>
        <w:t>erification of a current license to practice counseling, in good standing, issued by another state licensing board for a continuous period of at least three years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an active practice, as defined in SDCL 36-32-67, during the three-year period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</w:t>
      </w:r>
      <w:r>
        <w:rPr>
          <w:rFonts w:ascii="Times New Roman" w:hAnsi="Times New Roman"/>
          <w:sz w:val="24"/>
          <w:lang w:val="en-US" w:bidi="en-US" w:eastAsia="en-US"/>
        </w:rPr>
        <w:t>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2020-10-06T16:32:17Z</dcterms:modified>
  <cp:revision>7</cp:revision>
</cp:coreProperties>
</file>