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7342CB8" Type="http://schemas.openxmlformats.org/officeDocument/2006/relationships/officeDocument" Target="/word/document.xml" /><Relationship Id="coreR57342CB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Application denial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application may be denied for failure to meet the applicable licensure requirements or for any reasons set forth in SDCL 36-33-61.</w:t>
      </w:r>
      <w:r>
        <w:rPr>
          <w:rFonts w:ascii="Times New Roman" w:hAnsi="Times New Roman"/>
          <w:sz w:val="24"/>
        </w:rPr>
        <w:t xml:space="preserve"> The board shall inform the applicant, in writing, of its reasons for denial.</w:t>
      </w:r>
      <w:r>
        <w:rPr>
          <w:rFonts w:ascii="Times New Roman" w:hAnsi="Times New Roman"/>
          <w:sz w:val="24"/>
        </w:rPr>
        <w:t xml:space="preserve"> An applicant whose application is denied is entitled to a hearing pursuant to SDCL chapter 1-26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36-33-71.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36-33-43, 36-33-45, 36-33-46, 36-33-50, 36-33-52, 36-33-53, 36-33-66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2020-10-07T19:07:37Z</dcterms:modified>
  <cp:revision>7</cp:revision>
</cp:coreProperties>
</file>