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506E0DF" Type="http://schemas.openxmlformats.org/officeDocument/2006/relationships/officeDocument" Target="/word/document.xml" /><Relationship Id="coreR2506E0D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for marriage and family therapist by endorsement -- Applicant licensed in another state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licensed in another state for a minimum of three continuous years may apply for a license to practice counseling by submitting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 and the application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Examination in Marital and Family Therapy administered by the Association of Marital and Family Therapy Regulatory Boards;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current license to practice counseling, in good standing, issued by another state licensing board for a continuous period of at least three years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an active practice, as defined in SDCL 36-33-45, during the three-year period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36-33-45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2020-10-07T19:25:55Z</dcterms:modified>
  <cp:revision>7</cp:revision>
</cp:coreProperties>
</file>