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734E0598" Type="http://schemas.openxmlformats.org/officeDocument/2006/relationships/officeDocument" Target="/word/document.xml" /><Relationship Id="coreR734E0598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</w:t>
      </w:r>
      <w:r>
        <w:rPr>
          <w:rFonts w:ascii="Times New Roman" w:hAnsi="Times New Roman"/>
          <w:b w:val="1"/>
          <w:sz w:val="24"/>
          <w:lang w:val="en-US" w:bidi="en-US" w:eastAsia="en-US"/>
        </w:rPr>
        <w:t>0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71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02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10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Academic requirements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Academic requirements to become a marriage and family therapist must be completed at a university or college accredited by the: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(1)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Higher Learning Commission;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(2)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Middle States Commission on Higher Education;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(3)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New England State Association of Schools and Colleges Commission on Institutions of Higher Education;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Northwest Commission on Colleges and Universities;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Southern Association of Colleges and Schools Commission on Colleges; or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(6)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Western Association of Schools and Colleges.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The applicant's postgraduate degree in marriage and family therapy must be at least a 48 credit hour master's degree or doctoral degree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47 SDR 42, effective October 14, 2020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36-33-71.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36-33-43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Rhonda Purkapile</cp:lastModifiedBy>
  <dcterms:modified xsi:type="dcterms:W3CDTF">2020-10-07T19:35:12Z</dcterms:modified>
  <cp:revision>8</cp:revision>
</cp:coreProperties>
</file>