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6AA4395" Type="http://schemas.openxmlformats.org/officeDocument/2006/relationships/officeDocument" Target="/word/document.xml" /><Relationship Id="coreR16AA439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Approved marriage and family therapy program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Academic requirements to become a marriage and family therapist must be completed through a board approved program. An approved program is: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program accredited by the Commission on Accreditation for Marriage and Family Therapy Education;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program with specialty training in marriage and family counseling or therapy which is accredited by the Council for Accreditation of Counseling and Related Educational Programs;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 organized sequence of study in the area of marriage and family therapy that includes graduate course work in each of the following areas: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Marriage and family studies introductory systems theory, family development, family systems (marital, sibling, individual subsystems), special family issues, gender and cultural issues, all with major focus from a systems theory orientation;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Marriage and family therapy advanced systems theory and interventions, major systemic marriage and family treatment approaches, (structural, strategic, neoanalytic (object relations), behavioral marriage and family therapy, communications, sex therapy, etc.);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Human development: At least one course in psychopathology-abnormal behavior is required and at least one course in assessment is required. The third course may be selected from human development (normal and abnormal), personality theory, or human sexuality;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(d)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Professional studies: Professional ethics as a therapist including legal and ethical responsibilities and liabilities, family law, etc;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(e)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Research: Research course in marriage and family studies and therapy including research design, methodology, statistics;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(f)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Practicum: one year minimum during graduate work: 15 hours per week, approximately eight to ten hours in direct clinical contact with individuals, couples, and families. Minimum of three hundred client contact hours required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36-33-71.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36-33-43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2020-10-07T19:39:18Z</dcterms:modified>
  <cp:revision>7</cp:revision>
</cp:coreProperties>
</file>