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CB60E53" Type="http://schemas.openxmlformats.org/officeDocument/2006/relationships/officeDocument" Target="/word/document.xml" /><Relationship Id="coreRCB60E5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Supervisor duties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approved supervisor is responsible for the meaningful supervision of a supervisee through an intensive, interpersonal, and focused relationship to facilitate the development of the supervisee during a period of post graduate supervision.</w:t>
      </w:r>
      <w:r>
        <w:rPr>
          <w:rFonts w:ascii="Times New Roman" w:hAnsi="Times New Roman"/>
          <w:sz w:val="24"/>
        </w:rPr>
        <w:t xml:space="preserve"> An approved supervisor is responsible for ensuring that: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Client welfare is protected;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supervisee functions within the limits of the supervisee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competence;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supervision occurs in activities relevant to the supervisee's position and academic background;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supervision is designed to expand and improve skills in areas for which the supervisee has academic background but limited training;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supervision covers theoretical approaches in: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Marriage and family therapy techniques;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Appraisal, evaluation, and diagnostic procedures;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Treatment planning and implementation;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Case management and record keeping;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Professional identity and function;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(f)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Professional ethics and standards of practice;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setting for supervisee practice is appropriate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</w:t>
      </w:r>
      <w:r>
        <w:rPr>
          <w:rFonts w:ascii="Times New Roman" w:hAnsi="Times New Roman"/>
          <w:sz w:val="24"/>
          <w:lang w:val="en-US" w:bidi="en-US" w:eastAsia="en-US"/>
        </w:rPr>
        <w:t>33-43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2020-10-07T21:26:52Z</dcterms:modified>
  <cp:revision>7</cp:revision>
</cp:coreProperties>
</file>