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53E9A1F" Type="http://schemas.openxmlformats.org/officeDocument/2006/relationships/officeDocument" Target="/word/document.xml" /><Relationship Id="coreR153E9A1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Multiple supervisors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 supervisee may have more than one approved supervisor. </w:t>
      </w:r>
      <w:r>
        <w:rPr>
          <w:rFonts w:ascii="Times New Roman" w:hAnsi="Times New Roman"/>
          <w:sz w:val="24"/>
        </w:rPr>
        <w:t>Each supervisor is responsible for the supervision of the supervisee during the time an approved post graduate plan of supervision with the supervisor is in effect.</w:t>
      </w:r>
      <w:r>
        <w:rPr>
          <w:rFonts w:ascii="Times New Roman" w:hAnsi="Times New Roman"/>
          <w:sz w:val="24"/>
        </w:rPr>
        <w:t xml:space="preserve"> The frequency of supervision requirements prescribed by </w:t>
      </w:r>
      <w:r>
        <w:rPr>
          <w:rFonts w:ascii="Times New Roman" w:hAnsi="Times New Roman"/>
          <w:sz w:val="24"/>
          <w:lang w:val="en-US" w:bidi="en-US" w:eastAsia="en-US"/>
        </w:rPr>
        <w:t>subdivision</w:t>
      </w:r>
      <w:r>
        <w:rPr>
          <w:rFonts w:ascii="Times New Roman" w:hAnsi="Times New Roman"/>
          <w:sz w:val="24"/>
        </w:rPr>
        <w:t xml:space="preserve"> 20:71:05:02(2) may be met by one supervisor for any given period, if the supervisee has multiple supervisors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36-33-43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2020-10-07T21:28:58Z</dcterms:modified>
  <cp:revision>7</cp:revision>
</cp:coreProperties>
</file>