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DD87FAC" Type="http://schemas.openxmlformats.org/officeDocument/2006/relationships/officeDocument" Target="/word/document.xml" /><Relationship Id="coreR4DD87FA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Personal counseling or therapy permitted as direct client contact hours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For purposes of this chapter, a supervisee may count a maximum of 100 hours of personal counseling or therapy as direct client contact hours necessary to meet the requirements of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20:71:02:06.</w:t>
      </w:r>
      <w:r>
        <w:rPr>
          <w:rFonts w:ascii="Times New Roman" w:hAnsi="Times New Roman"/>
          <w:sz w:val="24"/>
        </w:rPr>
        <w:t xml:space="preserve"> The personal counseling or therapy must be with a professional counselor, professional counselor-mental health, certified social worker-private independent practice, psychologist, or psychiatrist and is subject to verification by the board. </w:t>
      </w:r>
      <w:r>
        <w:rPr>
          <w:rFonts w:ascii="Times New Roman" w:hAnsi="Times New Roman"/>
          <w:sz w:val="24"/>
        </w:rPr>
        <w:t>Personal counseling or therapy may not be with the supervisee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approved supervisor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36-33-43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2020-10-07T21:33:31Z</dcterms:modified>
  <cp:revision>7</cp:revision>
</cp:coreProperties>
</file>