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BF52CB9" Type="http://schemas.openxmlformats.org/officeDocument/2006/relationships/officeDocument" Target="/word/document.xml" /><Relationship Id="coreRBF52CB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Continuing education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 licensee shall complete 40 hours of qualified continuing education in each continuing education cycle. </w:t>
      </w:r>
      <w:r>
        <w:rPr>
          <w:rFonts w:ascii="Times New Roman" w:hAnsi="Times New Roman"/>
          <w:sz w:val="24"/>
        </w:rPr>
        <w:t>At least four of the continuing education hours must be on the subject of marriage and family ethics.</w:t>
      </w:r>
      <w:r>
        <w:rPr>
          <w:rFonts w:ascii="Times New Roman" w:hAnsi="Times New Roman"/>
          <w:sz w:val="24"/>
        </w:rPr>
        <w:t xml:space="preserve"> Continuing education required for renewal of a license must be prorated in six month increments for a licensee granted an initial license during a continuing education cycle.</w:t>
      </w:r>
      <w:r>
        <w:rPr>
          <w:rFonts w:ascii="Times New Roman" w:hAnsi="Times New Roman"/>
          <w:sz w:val="24"/>
        </w:rPr>
        <w:t xml:space="preserve"> Upon application for renewal, a licensee shall verify under penalty of perjury that all continuing education information provided on the application is true and correct. </w:t>
      </w:r>
      <w:r>
        <w:rPr>
          <w:rFonts w:ascii="Times New Roman" w:hAnsi="Times New Roman"/>
          <w:sz w:val="24"/>
        </w:rPr>
        <w:t>The licensee shall supply sufficient detail to permit verification of the qualified continuing education if notified of an audit by the board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36-33-71.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36-33-50, 36-33-51, 36-33-52, 36-33-53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2020-10-08T16:02:18Z</dcterms:modified>
  <cp:revision>7</cp:revision>
</cp:coreProperties>
</file>