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E674A6D" Type="http://schemas.openxmlformats.org/officeDocument/2006/relationships/officeDocument" Target="/word/document.xml" /><Relationship Id="coreR1E674A6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Post graduate supervision requirements -- Professional counselor-mental health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Post graduate supervision required for licensure as a professional counselor-mental health, as prescribed by SDCL 36-32-65, must take place pursuant to a board approved plan of supervision and consist of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minimum of 2,000 hours of direct client contact;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A minimum of 100 hours of supervision with a board approved supervisor. </w:t>
      </w:r>
      <w:r>
        <w:rPr>
          <w:rFonts w:ascii="Times New Roman" w:hAnsi="Times New Roman"/>
          <w:sz w:val="24"/>
        </w:rPr>
        <w:t>At least one hour of supervision must take place for every 20 hours of direct client contact by the supervisee.</w:t>
      </w:r>
      <w:r>
        <w:rPr>
          <w:rFonts w:ascii="Times New Roman" w:hAnsi="Times New Roman"/>
          <w:sz w:val="24"/>
        </w:rPr>
        <w:t xml:space="preserve"> Supervision may be individual or with a group. </w:t>
      </w:r>
      <w:r>
        <w:rPr>
          <w:rFonts w:ascii="Times New Roman" w:hAnsi="Times New Roman"/>
          <w:sz w:val="24"/>
        </w:rPr>
        <w:t xml:space="preserve">For the purpose of this chapter, individual supervision is supervision between a supervisor and up to two supervisees. </w:t>
      </w:r>
      <w:r>
        <w:rPr>
          <w:rFonts w:ascii="Times New Roman" w:hAnsi="Times New Roman"/>
          <w:sz w:val="24"/>
        </w:rPr>
        <w:t>Group supervision is supervision between a supervisor and three or more supervisees.</w:t>
      </w:r>
      <w:r>
        <w:rPr>
          <w:rFonts w:ascii="Times New Roman" w:hAnsi="Times New Roman"/>
          <w:sz w:val="24"/>
        </w:rPr>
        <w:t xml:space="preserve"> No more than 50 hours of the required supervision may be group supervision.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Supervision may take place by electronic means, as prescribed by chapter 20:73:08 and must be synchronous.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For the purpose of this chapter, a supervisee may count a maximum of 1,000 hours of direct client contact hours and a maximum of 50 hours of supervision acquired with a board approved supervisor under a post graduate plan of supervision for a professional counselor issued pursuant to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20:68:04:10 if the supervisor providing supervision under the post graduate plan of supervision for a professional counselor met the qualifications of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20:73:04:07 at the time the supervision hours were acquired.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Direct client contact hours and supervision hours must be recorded on a form provided by the board. </w:t>
      </w:r>
      <w:r>
        <w:rPr>
          <w:rFonts w:ascii="Times New Roman" w:hAnsi="Times New Roman"/>
          <w:sz w:val="24"/>
        </w:rPr>
        <w:t>For purposes of this chapter, only hours acquired with a board approved supervisor may be compliant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36-32-65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2020-10-08T20:06:25Z</dcterms:modified>
  <cp:revision>7</cp:revision>
</cp:coreProperties>
</file>