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D45407A" Type="http://schemas.openxmlformats.org/officeDocument/2006/relationships/officeDocument" Target="/word/document.xml" /><Relationship Id="coreR3D45407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Renewal of approved supervisor status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Approval as a supervisor is valid from the date of approval through November 30 of the next even-numbered year and is subject to renewal. An approved supervisor may renew status as an approved supervisor by submitting to the board a completed application and proof of at least four hours of qualified continuing education, pursuant to chapter 20:73:06, focused on supervision, acquired during the current continuing education cycle.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Failure to renew approval as a supervisor by November 30 of an even-numbered year automatically expires the approval and any post graduate plan of supervision authorized with the supervisor.</w:t>
      </w:r>
      <w:r>
        <w:rPr>
          <w:rFonts w:ascii="Times New Roman" w:hAnsi="Times New Roman"/>
          <w:sz w:val="24"/>
        </w:rPr>
        <w:t xml:space="preserve"> A previously approved supervisor may be reinstated as an approved supervisor upon submission of an application and verification of qualifications, pursuant to this chapter, as of the date of the application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36-32-65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2020-10-08T20:14:50Z</dcterms:modified>
  <cp:revision>8</cp:revision>
</cp:coreProperties>
</file>