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67</w:t>
      </w:r>
      <w:r>
        <w:rPr>
          <w:rFonts w:ascii="Times New Roman" w:hAnsi="Times New Roman"/>
          <w:b w:val="1"/>
          <w:sz w:val="24"/>
          <w:szCs w:val="20"/>
        </w:rPr>
        <w:t>:</w:t>
      </w:r>
      <w:r>
        <w:rPr>
          <w:rFonts w:ascii="Times New Roman" w:hAnsi="Times New Roman"/>
          <w:b w:val="1"/>
          <w:sz w:val="24"/>
          <w:szCs w:val="20"/>
          <w:lang w:val="en-US" w:bidi="en-US" w:eastAsia="en-US"/>
        </w:rPr>
        <w:t>63</w:t>
      </w:r>
      <w:r>
        <w:rPr>
          <w:rFonts w:ascii="Times New Roman" w:hAnsi="Times New Roman"/>
          <w:b w:val="1"/>
          <w:sz w:val="24"/>
          <w:szCs w:val="20"/>
        </w:rPr>
        <w:t>:</w:t>
      </w:r>
      <w:r>
        <w:rPr>
          <w:rFonts w:ascii="Times New Roman" w:hAnsi="Times New Roman"/>
          <w:b w:val="1"/>
          <w:sz w:val="24"/>
          <w:szCs w:val="20"/>
          <w:lang w:val="en-US" w:bidi="en-US" w:eastAsia="en-US"/>
        </w:rPr>
        <w:t>02</w:t>
      </w:r>
      <w:r>
        <w:rPr>
          <w:rFonts w:ascii="Times New Roman" w:hAnsi="Times New Roman"/>
          <w:b w:val="1"/>
          <w:sz w:val="24"/>
          <w:szCs w:val="20"/>
        </w:rPr>
        <w:t>:</w:t>
      </w:r>
      <w:r>
        <w:rPr>
          <w:rFonts w:ascii="Times New Roman" w:hAnsi="Times New Roman"/>
          <w:b w:val="1"/>
          <w:sz w:val="24"/>
          <w:szCs w:val="20"/>
          <w:lang w:val="en-US" w:bidi="en-US" w:eastAsia="en-US"/>
        </w:rPr>
        <w:t>02</w:t>
      </w:r>
      <w:r>
        <w:rPr>
          <w:rFonts w:ascii="Times New Roman" w:hAnsi="Times New Roman"/>
          <w:b w:val="1"/>
          <w:sz w:val="24"/>
          <w:szCs w:val="20"/>
        </w:rPr>
        <w:t>.  </w:t>
      </w:r>
      <w:r>
        <w:rPr>
          <w:rFonts w:ascii="Times New Roman" w:hAnsi="Times New Roman"/>
          <w:b w:val="1"/>
          <w:sz w:val="24"/>
          <w:szCs w:val="20"/>
        </w:rPr>
        <w:t>Denial of designation</w:t>
      </w:r>
      <w:r>
        <w:rPr>
          <w:rFonts w:ascii="Times New Roman" w:hAnsi="Times New Roman"/>
          <w:b w:val="1"/>
          <w:sz w:val="24"/>
          <w:szCs w:val="20"/>
        </w:rPr>
        <w:t>.</w:t>
      </w:r>
      <w:r>
        <w:rPr>
          <w:rFonts w:ascii="Times New Roman" w:hAnsi="Times New Roman"/>
          <w:sz w:val="24"/>
          <w:szCs w:val="20"/>
        </w:rPr>
        <w:t xml:space="preserve"> </w:t>
      </w:r>
      <w:r>
        <w:rPr>
          <w:rFonts w:ascii="Times New Roman" w:hAnsi="Times New Roman"/>
          <w:sz w:val="24"/>
          <w:szCs w:val="20"/>
        </w:rPr>
        <w:t>The department shall provide to each applicant written notice approving or denying the designation. If the application is denied, the notice must include the reasons for the denial. An applicant may reapply after addressing the reasons for the denial of the designation</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47</w:t>
      </w:r>
      <w:r>
        <w:rPr>
          <w:rFonts w:ascii="Times New Roman" w:hAnsi="Times New Roman"/>
          <w:sz w:val="24"/>
          <w:szCs w:val="20"/>
        </w:rPr>
        <w:t xml:space="preserve"> SDR </w:t>
      </w:r>
      <w:r>
        <w:rPr>
          <w:rFonts w:ascii="Times New Roman" w:hAnsi="Times New Roman"/>
          <w:sz w:val="24"/>
          <w:szCs w:val="20"/>
          <w:lang w:val="en-US" w:bidi="en-US" w:eastAsia="en-US"/>
        </w:rPr>
        <w:t>58</w:t>
      </w:r>
      <w:r>
        <w:rPr>
          <w:rFonts w:ascii="Times New Roman" w:hAnsi="Times New Roman"/>
          <w:sz w:val="24"/>
          <w:szCs w:val="20"/>
        </w:rPr>
        <w:t xml:space="preserve">, effective </w:t>
      </w:r>
      <w:r>
        <w:rPr>
          <w:rFonts w:ascii="Times New Roman" w:hAnsi="Times New Roman"/>
          <w:sz w:val="24"/>
          <w:szCs w:val="20"/>
          <w:lang w:val="en-US" w:bidi="en-US" w:eastAsia="en-US"/>
        </w:rPr>
        <w:t>December 2, 2020</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SDCL </w:t>
      </w:r>
      <w:r>
        <w:rPr>
          <w:rFonts w:ascii="Times New Roman" w:hAnsi="Times New Roman"/>
          <w:sz w:val="24"/>
          <w:szCs w:val="20"/>
          <w:lang w:val="en-US" w:bidi="en-US" w:eastAsia="en-US"/>
        </w:rPr>
        <w:t>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SDCL </w:t>
      </w:r>
      <w:r>
        <w:rPr>
          <w:rFonts w:ascii="Times New Roman" w:hAnsi="Times New Roman"/>
          <w:sz w:val="24"/>
          <w:szCs w:val="20"/>
          <w:lang w:val="en-US" w:bidi="en-US" w:eastAsia="en-US"/>
        </w:rPr>
        <w:t>27A-10-1.2</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Rhonda Purkapile</cp:lastModifiedBy>
  <dcterms:modified xsi:type="dcterms:W3CDTF">2020-11-17T20:41:48Z</dcterms:modified>
  <cp:revision>8</cp:revision>
</cp:coreProperties>
</file>