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rPr>
        <w:tab/>
      </w:r>
      <w:r>
        <w:rPr>
          <w:rFonts w:ascii="Times New Roman" w:hAnsi="Times New Roman"/>
          <w:b w:val="1"/>
          <w:sz w:val="24"/>
          <w:szCs w:val="20"/>
          <w:lang w:val="en-US" w:bidi="en-US" w:eastAsia="en-US"/>
        </w:rPr>
        <w:t>6</w:t>
      </w:r>
      <w:r>
        <w:rPr>
          <w:rFonts w:ascii="Times New Roman" w:hAnsi="Times New Roman"/>
          <w:b w:val="1"/>
          <w:sz w:val="24"/>
          <w:szCs w:val="20"/>
          <w:lang w:val="en-US" w:bidi="en-US" w:eastAsia="en-US"/>
        </w:rPr>
        <w:t>7</w:t>
      </w:r>
      <w:r>
        <w:rPr>
          <w:rFonts w:ascii="Times New Roman" w:hAnsi="Times New Roman"/>
          <w:b w:val="1"/>
          <w:sz w:val="24"/>
          <w:szCs w:val="20"/>
        </w:rPr>
        <w:t>:</w:t>
      </w:r>
      <w:r>
        <w:rPr>
          <w:rFonts w:ascii="Times New Roman" w:hAnsi="Times New Roman"/>
          <w:b w:val="1"/>
          <w:sz w:val="24"/>
          <w:szCs w:val="20"/>
          <w:lang w:val="en-US" w:bidi="en-US" w:eastAsia="en-US"/>
        </w:rPr>
        <w:t>63</w:t>
      </w:r>
      <w:r>
        <w:rPr>
          <w:rFonts w:ascii="Times New Roman" w:hAnsi="Times New Roman"/>
          <w:b w:val="1"/>
          <w:sz w:val="24"/>
          <w:szCs w:val="20"/>
        </w:rPr>
        <w:t>:</w:t>
      </w:r>
      <w:r>
        <w:rPr>
          <w:rFonts w:ascii="Times New Roman" w:hAnsi="Times New Roman"/>
          <w:b w:val="1"/>
          <w:sz w:val="24"/>
          <w:szCs w:val="20"/>
          <w:lang w:val="en-US" w:bidi="en-US" w:eastAsia="en-US"/>
        </w:rPr>
        <w:t>02</w:t>
      </w:r>
      <w:r>
        <w:rPr>
          <w:rFonts w:ascii="Times New Roman" w:hAnsi="Times New Roman"/>
          <w:b w:val="1"/>
          <w:sz w:val="24"/>
          <w:szCs w:val="20"/>
        </w:rPr>
        <w:t>:</w:t>
      </w:r>
      <w:r>
        <w:rPr>
          <w:rFonts w:ascii="Times New Roman" w:hAnsi="Times New Roman"/>
          <w:b w:val="1"/>
          <w:sz w:val="24"/>
          <w:szCs w:val="20"/>
          <w:lang w:val="en-US" w:bidi="en-US" w:eastAsia="en-US"/>
        </w:rPr>
        <w:t>08</w:t>
      </w:r>
      <w:r>
        <w:rPr>
          <w:rFonts w:ascii="Times New Roman" w:hAnsi="Times New Roman"/>
          <w:b w:val="1"/>
          <w:sz w:val="24"/>
          <w:szCs w:val="20"/>
        </w:rPr>
        <w:t>.  </w:t>
      </w:r>
      <w:r>
        <w:rPr>
          <w:rFonts w:ascii="Times New Roman" w:hAnsi="Times New Roman"/>
          <w:b w:val="1"/>
          <w:sz w:val="24"/>
          <w:szCs w:val="20"/>
        </w:rPr>
        <w:t>Revocation procedures</w:t>
      </w:r>
      <w:r>
        <w:rPr>
          <w:rFonts w:ascii="Times New Roman" w:hAnsi="Times New Roman"/>
          <w:b w:val="1"/>
          <w:sz w:val="24"/>
          <w:szCs w:val="20"/>
        </w:rPr>
        <w:t>.</w:t>
      </w:r>
      <w:r>
        <w:rPr>
          <w:rFonts w:ascii="Times New Roman" w:hAnsi="Times New Roman"/>
          <w:sz w:val="24"/>
          <w:szCs w:val="20"/>
        </w:rPr>
        <w:t xml:space="preserve"> </w:t>
      </w:r>
      <w:r>
        <w:rPr>
          <w:rFonts w:ascii="Times New Roman" w:hAnsi="Times New Roman"/>
          <w:sz w:val="24"/>
          <w:szCs w:val="20"/>
        </w:rPr>
        <w:t>The department shall provide a facility with a 15 calendar day written notice of the department's intent to revoke the facility's designation. The 15 calendar day written notice is not required if the revocation is necessary to prevent danger to the life, health, or safety of a client. The notice shall contain the reasons for the revocation and a process by which a facility may request a fair hearing</w:t>
      </w:r>
      <w:r>
        <w:rPr>
          <w:rFonts w:ascii="Times New Roman" w:hAnsi="Times New Roman"/>
          <w:sz w:val="24"/>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rPr>
        <w:tab/>
      </w:r>
      <w:r>
        <w:rPr>
          <w:rFonts w:ascii="Times New Roman" w:hAnsi="Times New Roman"/>
          <w:b w:val="1"/>
          <w:sz w:val="24"/>
          <w:szCs w:val="20"/>
        </w:rPr>
        <w:t>Source:</w:t>
      </w:r>
      <w:r>
        <w:rPr>
          <w:rFonts w:ascii="Times New Roman" w:hAnsi="Times New Roman"/>
          <w:sz w:val="24"/>
          <w:szCs w:val="20"/>
        </w:rPr>
        <w:t xml:space="preserve"> </w:t>
      </w:r>
      <w:r>
        <w:rPr>
          <w:rFonts w:ascii="Times New Roman" w:hAnsi="Times New Roman"/>
          <w:sz w:val="24"/>
          <w:szCs w:val="20"/>
          <w:lang w:val="en-US" w:bidi="en-US" w:eastAsia="en-US"/>
        </w:rPr>
        <w:t>47</w:t>
      </w:r>
      <w:r>
        <w:rPr>
          <w:rFonts w:ascii="Times New Roman" w:hAnsi="Times New Roman"/>
          <w:sz w:val="24"/>
          <w:szCs w:val="20"/>
        </w:rPr>
        <w:t xml:space="preserve"> SDR </w:t>
      </w:r>
      <w:r>
        <w:rPr>
          <w:rFonts w:ascii="Times New Roman" w:hAnsi="Times New Roman"/>
          <w:sz w:val="24"/>
          <w:szCs w:val="20"/>
          <w:lang w:val="en-US" w:bidi="en-US" w:eastAsia="en-US"/>
        </w:rPr>
        <w:t>58</w:t>
      </w:r>
      <w:r>
        <w:rPr>
          <w:rFonts w:ascii="Times New Roman" w:hAnsi="Times New Roman"/>
          <w:sz w:val="24"/>
          <w:szCs w:val="20"/>
        </w:rPr>
        <w:t xml:space="preserve">, effective </w:t>
      </w:r>
      <w:r>
        <w:rPr>
          <w:rFonts w:ascii="Times New Roman" w:hAnsi="Times New Roman"/>
          <w:sz w:val="24"/>
          <w:szCs w:val="20"/>
          <w:lang w:val="en-US" w:bidi="en-US" w:eastAsia="en-US"/>
        </w:rPr>
        <w:t>December</w:t>
      </w:r>
      <w:r>
        <w:rPr>
          <w:rFonts w:ascii="Times New Roman" w:hAnsi="Times New Roman"/>
          <w:sz w:val="24"/>
          <w:szCs w:val="20"/>
          <w:lang w:val="en-US" w:bidi="en-US" w:eastAsia="en-US"/>
        </w:rPr>
        <w:t xml:space="preserve"> 2, 2020</w:t>
      </w:r>
      <w:r>
        <w:rPr>
          <w:rFonts w:ascii="Times New Roman" w:hAnsi="Times New Roman"/>
          <w:sz w:val="24"/>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rPr>
        <w:tab/>
      </w:r>
      <w:r>
        <w:rPr>
          <w:rFonts w:ascii="Times New Roman" w:hAnsi="Times New Roman"/>
          <w:b w:val="1"/>
          <w:sz w:val="24"/>
          <w:szCs w:val="20"/>
        </w:rPr>
        <w:t>General Authority:</w:t>
      </w:r>
      <w:r>
        <w:rPr>
          <w:rFonts w:ascii="Times New Roman" w:hAnsi="Times New Roman"/>
          <w:sz w:val="24"/>
          <w:szCs w:val="20"/>
        </w:rPr>
        <w:t xml:space="preserve"> SDCL </w:t>
      </w:r>
      <w:r>
        <w:rPr>
          <w:rFonts w:ascii="Times New Roman" w:hAnsi="Times New Roman"/>
          <w:sz w:val="24"/>
          <w:szCs w:val="20"/>
          <w:lang w:val="en-US" w:bidi="en-US" w:eastAsia="en-US"/>
        </w:rPr>
        <w:t>27A-10-1.2.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rPr>
        <w:tab/>
      </w:r>
      <w:r>
        <w:rPr>
          <w:rFonts w:ascii="Times New Roman" w:hAnsi="Times New Roman"/>
          <w:b w:val="1"/>
          <w:sz w:val="24"/>
          <w:szCs w:val="20"/>
        </w:rPr>
        <w:t>Law Implemented:</w:t>
      </w:r>
      <w:r>
        <w:rPr>
          <w:rFonts w:ascii="Times New Roman" w:hAnsi="Times New Roman"/>
          <w:sz w:val="24"/>
          <w:szCs w:val="20"/>
        </w:rPr>
        <w:t xml:space="preserve"> SDCL </w:t>
      </w:r>
      <w:r>
        <w:rPr>
          <w:rFonts w:ascii="Times New Roman" w:hAnsi="Times New Roman"/>
          <w:sz w:val="24"/>
          <w:szCs w:val="20"/>
          <w:lang w:val="en-US" w:bidi="en-US" w:eastAsia="en-US"/>
        </w:rPr>
        <w:t>27A-3-1</w:t>
      </w:r>
      <w:r>
        <w:rPr>
          <w:rFonts w:ascii="Times New Roman" w:hAnsi="Times New Roman"/>
          <w:sz w:val="24"/>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bookmarkStart w:id="0" w:name="_GoBack"/>
      <w:bookmarkEnd w:id="0"/>
    </w:p>
    <w:sectPr>
      <w:type w:val="nextPage"/>
      <w:pgMar w:left="1267" w:right="1440" w:top="994" w:bottom="994"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Calibri" w:hAnsi="Calibri"/>
        <w:b w:val="0"/>
        <w:i w:val="0"/>
        <w:caps w:val="0"/>
        <w:strike w:val="0"/>
        <w:noProof w:val="0"/>
        <w:vanish w:val="0"/>
        <w:color w:val="auto"/>
        <w:sz w:val="22"/>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76" w:before="0" w:after="200" w:beforeAutospacing="0" w:afterAutospacing="0"/>
        <w:ind w:firstLine="0" w:left="0" w:right="0"/>
        <w:contextualSpacing w:val="0"/>
        <w:bidi w:val="0"/>
        <w:jc w:val="left"/>
        <w:outlineLvl w:val="9"/>
      </w:pPr>
    </w:pPrDefault>
  </w:docDefaults>
  <w:style w:type="paragraph" w:styleId="P0" w:default="1">
    <w:name w:val="Normal"/>
    <w:qFormat/>
    <w:pPr/>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mpd="sng" algn="ctr">
          <a:solidFill>
            <a:schemeClr val="phClr">
              <a:shade val="95000"/>
              <a:satMod val="105000"/>
            </a:schemeClr>
          </a:solidFill>
          <a:prstDash val="solid"/>
        </a:ln>
        <a:ln w="25400" cmpd="sng" algn="ctr">
          <a:solidFill>
            <a:schemeClr val="phClr"/>
          </a:solidFill>
          <a:prstDash val="solid"/>
        </a:ln>
        <a:ln w="38100"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Kumpf, Kevin</dc:creator>
  <dcterms:created xsi:type="dcterms:W3CDTF">2015-11-30T21:41:00Z</dcterms:created>
  <cp:lastModifiedBy>Rhonda Purkapile</cp:lastModifiedBy>
  <dcterms:modified xsi:type="dcterms:W3CDTF">2020-11-17T21:30:45Z</dcterms:modified>
  <cp:revision>7</cp:revision>
</cp:coreProperties>
</file>