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26.01</w:t>
      </w:r>
      <w:r>
        <w:rPr>
          <w:rFonts w:ascii="Times New Roman" w:hAnsi="Times New Roman"/>
          <w:b w:val="1"/>
          <w:sz w:val="24"/>
          <w:szCs w:val="20"/>
        </w:rPr>
        <w:t>.  Renewal requirements for a library science permit.</w:t>
      </w:r>
      <w:r>
        <w:rPr>
          <w:rFonts w:ascii="Times New Roman" w:hAnsi="Times New Roman"/>
          <w:sz w:val="24"/>
          <w:szCs w:val="20"/>
        </w:rPr>
        <w:t xml:space="preserve"> The applicant for a </w:t>
      </w:r>
      <w:r>
        <w:rPr>
          <w:rFonts w:ascii="Times New Roman" w:hAnsi="Times New Roman"/>
          <w:sz w:val="24"/>
          <w:szCs w:val="20"/>
        </w:rPr>
        <w:t>renewed library science permit shall: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(1)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Adhere to the South Dakota Code of Professional Ethics for Teachers as set forth in chapter 24:08:03;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</w:t>
      </w:r>
      <w:r>
        <w:rPr>
          <w:rFonts w:ascii="Times New Roman" w:hAnsi="Times New Roman"/>
          <w:sz w:val="24"/>
          <w:szCs w:val="20"/>
        </w:rPr>
        <w:t>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 xml:space="preserve">Complete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either: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ab/>
        <w:t>(a)  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S</w:t>
      </w:r>
      <w:r>
        <w:rPr>
          <w:rFonts w:ascii="Times New Roman" w:hAnsi="Times New Roman"/>
          <w:sz w:val="24"/>
          <w:szCs w:val="20"/>
        </w:rPr>
        <w:t xml:space="preserve">ix education-related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credits that consist of any combination of </w:t>
      </w:r>
      <w:r>
        <w:rPr>
          <w:rFonts w:ascii="Times New Roman" w:hAnsi="Times New Roman"/>
          <w:sz w:val="24"/>
          <w:szCs w:val="20"/>
        </w:rPr>
        <w:t>transcripted credits, specialized learning experience hours, or continuing education contact hours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or</w:t>
      </w:r>
      <w:r>
        <w:rPr>
          <w:rFonts w:ascii="Times New Roman" w:hAnsi="Times New Roman"/>
          <w:sz w:val="24"/>
          <w:szCs w:val="20"/>
        </w:rPr>
        <w:t xml:space="preserve">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ab/>
        <w:t>(b) 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T</w:t>
      </w:r>
      <w:r>
        <w:rPr>
          <w:rFonts w:ascii="Times New Roman" w:hAnsi="Times New Roman"/>
          <w:sz w:val="24"/>
          <w:szCs w:val="20"/>
        </w:rPr>
        <w:t>wo years in a state-approved mentor program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 xml:space="preserve">If the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applicant is</w:t>
      </w:r>
      <w:r>
        <w:rPr>
          <w:rFonts w:ascii="Times New Roman" w:hAnsi="Times New Roman"/>
          <w:sz w:val="24"/>
          <w:szCs w:val="20"/>
        </w:rPr>
        <w:t xml:space="preserve"> employed as a school librarian,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the applicant must </w:t>
      </w:r>
      <w:r>
        <w:rPr>
          <w:rFonts w:ascii="Times New Roman" w:hAnsi="Times New Roman"/>
          <w:sz w:val="24"/>
          <w:szCs w:val="20"/>
        </w:rPr>
        <w:t xml:space="preserve">provide documentation verifying that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any r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equired </w:t>
      </w:r>
      <w:r>
        <w:rPr>
          <w:rFonts w:ascii="Times New Roman" w:hAnsi="Times New Roman"/>
          <w:sz w:val="24"/>
          <w:szCs w:val="20"/>
        </w:rPr>
        <w:t>mentorship was provided by a school librarian during the first two years of employment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 when the applicant submits the first renewal application after fi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r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st becoming employed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47 SDR 68, effective December 10, 2020</w:t>
      </w:r>
      <w:r>
        <w:rPr>
          <w:rFonts w:ascii="Times New Roman" w:hAnsi="Times New Roman"/>
          <w:sz w:val="24"/>
          <w:lang w:val="en-US" w:bidi="en-US" w:eastAsia="en-US"/>
        </w:rPr>
        <w:t xml:space="preserve">; 50 SDR 158, effective July 3, </w:t>
      </w:r>
      <w:r>
        <w:rPr>
          <w:rFonts w:ascii="Times New Roman" w:hAnsi="Times New Roman"/>
          <w:sz w:val="24"/>
          <w:lang w:val="en-US" w:bidi="en-US" w:eastAsia="en-US"/>
        </w:rPr>
        <w:t>2024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13-1-12.1, 13-42-3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13-1-12.1, 13-42-1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to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 13-42-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inclusive,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13-42-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, 13-42-72, 13-43-5, 13-43-5.1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2024-07-01T18:41:34Z</dcterms:modified>
  <cp:revision>10</cp:revision>
</cp:coreProperties>
</file>