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64</w:t>
      </w:r>
      <w:r>
        <w:rPr>
          <w:rFonts w:ascii="Times New Roman" w:hAnsi="Times New Roman"/>
          <w:b w:val="1"/>
          <w:sz w:val="24"/>
          <w:szCs w:val="20"/>
        </w:rPr>
        <w:t>:</w:t>
      </w:r>
      <w:r>
        <w:rPr>
          <w:rFonts w:ascii="Times New Roman" w:hAnsi="Times New Roman"/>
          <w:b w:val="1"/>
          <w:sz w:val="24"/>
          <w:szCs w:val="20"/>
          <w:lang w:val="en-US" w:bidi="en-US" w:eastAsia="en-US"/>
        </w:rPr>
        <w:t>04</w:t>
      </w:r>
      <w:r>
        <w:rPr>
          <w:rFonts w:ascii="Times New Roman" w:hAnsi="Times New Roman"/>
          <w:b w:val="1"/>
          <w:sz w:val="24"/>
          <w:szCs w:val="20"/>
        </w:rPr>
        <w:t>:</w:t>
      </w:r>
      <w:r>
        <w:rPr>
          <w:rFonts w:ascii="Times New Roman" w:hAnsi="Times New Roman"/>
          <w:b w:val="1"/>
          <w:sz w:val="24"/>
          <w:szCs w:val="20"/>
          <w:lang w:val="en-US" w:bidi="en-US" w:eastAsia="en-US"/>
        </w:rPr>
        <w:t>01</w:t>
      </w:r>
      <w:r>
        <w:rPr>
          <w:rFonts w:ascii="Times New Roman" w:hAnsi="Times New Roman"/>
          <w:b w:val="1"/>
          <w:sz w:val="24"/>
          <w:szCs w:val="20"/>
        </w:rPr>
        <w:t>:</w:t>
      </w:r>
      <w:r>
        <w:rPr>
          <w:rFonts w:ascii="Times New Roman" w:hAnsi="Times New Roman"/>
          <w:b w:val="1"/>
          <w:sz w:val="24"/>
          <w:szCs w:val="20"/>
          <w:lang w:val="en-US" w:bidi="en-US" w:eastAsia="en-US"/>
        </w:rPr>
        <w:t>04.02</w:t>
      </w:r>
      <w:r>
        <w:rPr>
          <w:rFonts w:ascii="Times New Roman" w:hAnsi="Times New Roman"/>
          <w:b w:val="1"/>
          <w:sz w:val="24"/>
          <w:szCs w:val="20"/>
        </w:rPr>
        <w:t>.  Submission of information required -- Dea</w:t>
      </w:r>
      <w:r>
        <w:rPr>
          <w:rFonts w:ascii="Times New Roman" w:hAnsi="Times New Roman"/>
          <w:b w:val="1"/>
          <w:sz w:val="24"/>
          <w:szCs w:val="20"/>
          <w:lang w:val="en-US" w:bidi="en-US" w:eastAsia="en-US"/>
        </w:rPr>
        <w:t>d</w:t>
      </w:r>
      <w:r>
        <w:rPr>
          <w:rFonts w:ascii="Times New Roman" w:hAnsi="Times New Roman"/>
          <w:b w:val="1"/>
          <w:sz w:val="24"/>
          <w:szCs w:val="20"/>
        </w:rPr>
        <w:t>line for submission.</w:t>
      </w:r>
      <w:r>
        <w:rPr>
          <w:rFonts w:ascii="Times New Roman" w:hAnsi="Times New Roman"/>
          <w:sz w:val="24"/>
          <w:szCs w:val="20"/>
        </w:rPr>
        <w:t xml:space="preserve"> On or before March 1 of each year, the director must provide information to the department for each parcel of property pursuant to this section. The information shall be provided as shown on the notice sent to taxpayers pursuant to §</w:t>
      </w:r>
      <w:r>
        <w:rPr>
          <w:rFonts w:ascii="Times New Roman" w:hAnsi="Times New Roman"/>
          <w:sz w:val="24"/>
          <w:szCs w:val="20"/>
          <w:lang w:val="en-US" w:bidi="en-US" w:eastAsia="en-US"/>
        </w:rPr>
        <w:t> </w:t>
      </w:r>
      <w:r>
        <w:rPr>
          <w:rFonts w:ascii="Times New Roman" w:hAnsi="Times New Roman"/>
          <w:sz w:val="24"/>
          <w:szCs w:val="20"/>
        </w:rPr>
        <w:t>64:04:01:04 and must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w:t>
      </w:r>
      <w:r>
        <w:rPr>
          <w:rFonts w:ascii="Times New Roman" w:hAnsi="Times New Roman"/>
          <w:sz w:val="24"/>
          <w:szCs w:val="20"/>
        </w:rPr>
        <w:t>1)</w:t>
      </w:r>
      <w:r>
        <w:rPr>
          <w:rFonts w:ascii="Times New Roman" w:hAnsi="Times New Roman"/>
          <w:sz w:val="24"/>
          <w:szCs w:val="20"/>
          <w:lang w:val="en-US" w:bidi="en-US" w:eastAsia="en-US"/>
        </w:rPr>
        <w:t>  </w:t>
      </w:r>
      <w:r>
        <w:rPr>
          <w:rFonts w:ascii="Times New Roman" w:hAnsi="Times New Roman"/>
          <w:sz w:val="24"/>
          <w:szCs w:val="20"/>
        </w:rPr>
        <w:t>The parcel number;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w:t>
      </w:r>
      <w:r>
        <w:rPr>
          <w:rFonts w:ascii="Times New Roman" w:hAnsi="Times New Roman"/>
          <w:sz w:val="24"/>
          <w:szCs w:val="20"/>
        </w:rPr>
        <w:t>2)</w:t>
      </w:r>
      <w:r>
        <w:rPr>
          <w:rFonts w:ascii="Times New Roman" w:hAnsi="Times New Roman"/>
          <w:sz w:val="24"/>
          <w:szCs w:val="20"/>
          <w:lang w:val="en-US" w:bidi="en-US" w:eastAsia="en-US"/>
        </w:rPr>
        <w:t>  </w:t>
      </w:r>
      <w:r>
        <w:rPr>
          <w:rFonts w:ascii="Times New Roman" w:hAnsi="Times New Roman"/>
          <w:sz w:val="24"/>
          <w:szCs w:val="20"/>
        </w:rPr>
        <w:t>The full and true valuation by abstract class;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w:t>
      </w:r>
      <w:r>
        <w:rPr>
          <w:rFonts w:ascii="Times New Roman" w:hAnsi="Times New Roman"/>
          <w:sz w:val="24"/>
          <w:szCs w:val="20"/>
        </w:rPr>
        <w:t>3)</w:t>
      </w:r>
      <w:r>
        <w:rPr>
          <w:rFonts w:ascii="Times New Roman" w:hAnsi="Times New Roman"/>
          <w:sz w:val="24"/>
          <w:szCs w:val="20"/>
          <w:lang w:val="en-US" w:bidi="en-US" w:eastAsia="en-US"/>
        </w:rPr>
        <w:t>  </w:t>
      </w:r>
      <w:r>
        <w:rPr>
          <w:rFonts w:ascii="Times New Roman" w:hAnsi="Times New Roman"/>
          <w:sz w:val="24"/>
          <w:szCs w:val="20"/>
        </w:rPr>
        <w:t>Any exemption, the type of exemption, and amount;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w:t>
      </w:r>
      <w:r>
        <w:rPr>
          <w:rFonts w:ascii="Times New Roman" w:hAnsi="Times New Roman"/>
          <w:sz w:val="24"/>
          <w:szCs w:val="20"/>
        </w:rPr>
        <w:t>4)</w:t>
      </w:r>
      <w:r>
        <w:rPr>
          <w:rFonts w:ascii="Times New Roman" w:hAnsi="Times New Roman"/>
          <w:sz w:val="24"/>
          <w:szCs w:val="20"/>
          <w:lang w:val="en-US" w:bidi="en-US" w:eastAsia="en-US"/>
        </w:rPr>
        <w:t>  </w:t>
      </w:r>
      <w:r>
        <w:rPr>
          <w:rFonts w:ascii="Times New Roman" w:hAnsi="Times New Roman"/>
          <w:sz w:val="24"/>
          <w:szCs w:val="20"/>
        </w:rPr>
        <w:t>Any discretionary formula valuation;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w:t>
      </w:r>
      <w:r>
        <w:rPr>
          <w:rFonts w:ascii="Times New Roman" w:hAnsi="Times New Roman"/>
          <w:sz w:val="24"/>
          <w:szCs w:val="20"/>
        </w:rPr>
        <w:t>5)</w:t>
      </w:r>
      <w:r>
        <w:rPr>
          <w:rFonts w:ascii="Times New Roman" w:hAnsi="Times New Roman"/>
          <w:sz w:val="24"/>
          <w:szCs w:val="20"/>
          <w:lang w:val="en-US" w:bidi="en-US" w:eastAsia="en-US"/>
        </w:rPr>
        <w:t>  </w:t>
      </w:r>
      <w:r>
        <w:rPr>
          <w:rFonts w:ascii="Times New Roman" w:hAnsi="Times New Roman"/>
          <w:sz w:val="24"/>
          <w:szCs w:val="20"/>
        </w:rPr>
        <w:t>The total adjusted assessed valuation;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w:t>
      </w:r>
      <w:r>
        <w:rPr>
          <w:rFonts w:ascii="Times New Roman" w:hAnsi="Times New Roman"/>
          <w:sz w:val="24"/>
          <w:szCs w:val="20"/>
        </w:rPr>
        <w:t>6)</w:t>
      </w:r>
      <w:r>
        <w:rPr>
          <w:rFonts w:ascii="Times New Roman" w:hAnsi="Times New Roman"/>
          <w:sz w:val="24"/>
          <w:szCs w:val="20"/>
          <w:lang w:val="en-US" w:bidi="en-US" w:eastAsia="en-US"/>
        </w:rPr>
        <w:t>  </w:t>
      </w:r>
      <w:r>
        <w:rPr>
          <w:rFonts w:ascii="Times New Roman" w:hAnsi="Times New Roman"/>
          <w:sz w:val="24"/>
          <w:szCs w:val="20"/>
        </w:rPr>
        <w:t>Any other available information or data deemed necessary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lang w:val="en-US" w:bidi="en-US" w:eastAsia="en-US"/>
        </w:rPr>
        <w:t>47 SDR 71, effective December 10, 2020</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SDCL </w:t>
      </w:r>
      <w:r>
        <w:rPr>
          <w:rFonts w:ascii="Times New Roman" w:hAnsi="Times New Roman"/>
          <w:sz w:val="24"/>
          <w:szCs w:val="20"/>
          <w:lang w:val="en-US" w:bidi="en-US" w:eastAsia="en-US"/>
        </w:rPr>
        <w:t>10-6-33.13.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SDCL </w:t>
      </w:r>
      <w:r>
        <w:rPr>
          <w:rFonts w:ascii="Times New Roman" w:hAnsi="Times New Roman"/>
          <w:sz w:val="24"/>
          <w:szCs w:val="20"/>
          <w:lang w:val="en-US" w:bidi="en-US" w:eastAsia="en-US"/>
        </w:rPr>
        <w:t>10-1-17, 10-1-18</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2025-04-01T15:52:46Z</dcterms:modified>
  <cp:revision>10</cp:revision>
</cp:coreProperties>
</file>