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51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External embargoed articles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All regulated articles described in §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</w:t>
      </w:r>
      <w:r>
        <w:rPr>
          <w:rFonts w:ascii="Times New Roman" w:hAnsi="Times New Roman"/>
          <w:sz w:val="24"/>
          <w:szCs w:val="20"/>
        </w:rPr>
        <w:t>12:51:10:03 that originate from an external embargoed area, and that have not been treated as described in §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</w:t>
      </w:r>
      <w:r>
        <w:rPr>
          <w:rFonts w:ascii="Times New Roman" w:hAnsi="Times New Roman"/>
          <w:sz w:val="24"/>
          <w:szCs w:val="20"/>
        </w:rPr>
        <w:t>12:51:10:06, are embargoed, except when each of the following conditions are met: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(1)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The articles enter directly from portions of states that border a county regulated by the South Dakota emerald ash borer internal quarantine as established by the secretary;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(2)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The articles travel directly to a facility located within the South Dakota emerald ash borer quarantine;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(3)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The articles will not leave the South Dakota emerald ash borer quarantine area, unless they are subsequently treated to meet the requirements described in §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</w:t>
      </w:r>
      <w:r>
        <w:rPr>
          <w:rFonts w:ascii="Times New Roman" w:hAnsi="Times New Roman"/>
          <w:sz w:val="24"/>
          <w:szCs w:val="20"/>
        </w:rPr>
        <w:t>12:51:10:06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47 SDR 125, effective May 30, 2021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</w:rPr>
        <w:t>38-24A-9.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</w:rPr>
        <w:t>38-24A-6, 38-24A-10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2021-05-25T18:48:28Z</dcterms:modified>
  <cp:revision>7</cp:revision>
</cp:coreProperties>
</file>