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20</w:t>
      </w:r>
      <w:r>
        <w:rPr>
          <w:rFonts w:ascii="Times New Roman" w:hAnsi="Times New Roman"/>
          <w:b w:val="1"/>
          <w:sz w:val="24"/>
          <w:szCs w:val="20"/>
        </w:rPr>
        <w:t>:</w:t>
      </w:r>
      <w:r>
        <w:rPr>
          <w:rFonts w:ascii="Times New Roman" w:hAnsi="Times New Roman"/>
          <w:b w:val="1"/>
          <w:sz w:val="24"/>
          <w:szCs w:val="20"/>
          <w:lang w:val="en-US" w:bidi="en-US" w:eastAsia="en-US"/>
        </w:rPr>
        <w:t>10</w:t>
      </w:r>
      <w:r>
        <w:rPr>
          <w:rFonts w:ascii="Times New Roman" w:hAnsi="Times New Roman"/>
          <w:b w:val="1"/>
          <w:sz w:val="24"/>
          <w:szCs w:val="20"/>
        </w:rPr>
        <w:t>:</w:t>
      </w:r>
      <w:r>
        <w:rPr>
          <w:rFonts w:ascii="Times New Roman" w:hAnsi="Times New Roman"/>
          <w:b w:val="1"/>
          <w:sz w:val="24"/>
          <w:szCs w:val="20"/>
          <w:lang w:val="en-US" w:bidi="en-US" w:eastAsia="en-US"/>
        </w:rPr>
        <w:t>01</w:t>
      </w:r>
      <w:r>
        <w:rPr>
          <w:rFonts w:ascii="Times New Roman" w:hAnsi="Times New Roman"/>
          <w:b w:val="1"/>
          <w:sz w:val="24"/>
          <w:szCs w:val="20"/>
        </w:rPr>
        <w:t>:</w:t>
      </w:r>
      <w:r>
        <w:rPr>
          <w:rFonts w:ascii="Times New Roman" w:hAnsi="Times New Roman"/>
          <w:b w:val="1"/>
          <w:sz w:val="24"/>
          <w:szCs w:val="20"/>
          <w:lang w:val="en-US" w:bidi="en-US" w:eastAsia="en-US"/>
        </w:rPr>
        <w:t>41.01</w:t>
      </w:r>
      <w:r>
        <w:rPr>
          <w:rFonts w:ascii="Times New Roman" w:hAnsi="Times New Roman"/>
          <w:b w:val="1"/>
          <w:sz w:val="24"/>
          <w:szCs w:val="20"/>
        </w:rPr>
        <w:t>.  Requests for confidential treatment of information by a non-submi</w:t>
      </w:r>
      <w:r>
        <w:rPr>
          <w:rFonts w:ascii="Times New Roman" w:hAnsi="Times New Roman"/>
          <w:b w:val="1"/>
          <w:sz w:val="24"/>
          <w:szCs w:val="20"/>
          <w:lang w:val="en-US" w:bidi="en-US" w:eastAsia="en-US"/>
        </w:rPr>
        <w:t>t</w:t>
      </w:r>
      <w:r>
        <w:rPr>
          <w:rFonts w:ascii="Times New Roman" w:hAnsi="Times New Roman"/>
          <w:b w:val="1"/>
          <w:sz w:val="24"/>
          <w:szCs w:val="20"/>
        </w:rPr>
        <w:t>ting party.</w:t>
      </w:r>
      <w:r>
        <w:rPr>
          <w:rFonts w:ascii="Times New Roman" w:hAnsi="Times New Roman"/>
          <w:sz w:val="24"/>
          <w:szCs w:val="20"/>
        </w:rPr>
        <w:t xml:space="preserve"> A request by a non-submitting party for confidential treatment of information shall be made by submitting the request to the commission along with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(1)</w:t>
      </w:r>
      <w:r>
        <w:rPr>
          <w:rFonts w:ascii="Times New Roman" w:hAnsi="Times New Roman"/>
          <w:sz w:val="24"/>
          <w:szCs w:val="20"/>
          <w:lang w:val="en-US" w:bidi="en-US" w:eastAsia="en-US"/>
        </w:rPr>
        <w:t>  </w:t>
      </w:r>
      <w:r>
        <w:rPr>
          <w:rFonts w:ascii="Times New Roman" w:hAnsi="Times New Roman"/>
          <w:sz w:val="24"/>
          <w:szCs w:val="20"/>
        </w:rPr>
        <w:t>An identification of the document and the general subject matter of the materials or the portions of the document for which confidentiality is being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(2)</w:t>
      </w:r>
      <w:r>
        <w:rPr>
          <w:rFonts w:ascii="Times New Roman" w:hAnsi="Times New Roman"/>
          <w:sz w:val="24"/>
          <w:szCs w:val="20"/>
          <w:lang w:val="en-US" w:bidi="en-US" w:eastAsia="en-US"/>
        </w:rPr>
        <w:t>  </w:t>
      </w:r>
      <w:r>
        <w:rPr>
          <w:rFonts w:ascii="Times New Roman" w:hAnsi="Times New Roman"/>
          <w:sz w:val="24"/>
          <w:szCs w:val="20"/>
        </w:rPr>
        <w:t>The length of time for which confidentiality is being requested and a request for handling at the end of that time. This does not preclude a later request to extend the period of confidential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(3)</w:t>
      </w:r>
      <w:r>
        <w:rPr>
          <w:rFonts w:ascii="Times New Roman" w:hAnsi="Times New Roman"/>
          <w:sz w:val="24"/>
          <w:szCs w:val="20"/>
          <w:lang w:val="en-US" w:bidi="en-US" w:eastAsia="en-US"/>
        </w:rPr>
        <w:t>  </w:t>
      </w:r>
      <w:r>
        <w:rPr>
          <w:rFonts w:ascii="Times New Roman" w:hAnsi="Times New Roman"/>
          <w:sz w:val="24"/>
          <w:szCs w:val="20"/>
        </w:rPr>
        <w:t>The name, address, and phone number of a person to be contacted regarding the confidentiality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(4)</w:t>
      </w:r>
      <w:r>
        <w:rPr>
          <w:rFonts w:ascii="Times New Roman" w:hAnsi="Times New Roman"/>
          <w:sz w:val="24"/>
          <w:szCs w:val="20"/>
          <w:lang w:val="en-US" w:bidi="en-US" w:eastAsia="en-US"/>
        </w:rPr>
        <w:t>  </w:t>
      </w:r>
      <w:r>
        <w:rPr>
          <w:rFonts w:ascii="Times New Roman" w:hAnsi="Times New Roman"/>
          <w:sz w:val="24"/>
          <w:szCs w:val="20"/>
        </w:rPr>
        <w:t>The statutory or common law grounds and any administrative rules under which confidentiality is requested. Failure to include all possible grounds for confidential treatment does not preclude the party from raising additional grounds in the future;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(5)</w:t>
      </w:r>
      <w:r>
        <w:rPr>
          <w:rFonts w:ascii="Times New Roman" w:hAnsi="Times New Roman"/>
          <w:sz w:val="24"/>
          <w:szCs w:val="20"/>
          <w:lang w:val="en-US" w:bidi="en-US" w:eastAsia="en-US"/>
        </w:rPr>
        <w:t>  </w:t>
      </w:r>
      <w:r>
        <w:rPr>
          <w:rFonts w:ascii="Times New Roman" w:hAnsi="Times New Roman"/>
          <w:sz w:val="24"/>
          <w:szCs w:val="20"/>
        </w:rPr>
        <w:t>The factual basis that qualifies the information for confidentiality under the authority cited.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lang w:val="en-US" w:bidi="en-US" w:eastAsia="en-US"/>
        </w:rPr>
        <w:t>47 SDR 125, effective May 30, 2021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49-1-11(6).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49-1-9, 4</w:t>
      </w:r>
      <w:r>
        <w:rPr>
          <w:rFonts w:ascii="Times New Roman" w:hAnsi="Times New Roman"/>
          <w:sz w:val="24"/>
          <w:szCs w:val="20"/>
          <w:lang w:val="en-US" w:bidi="en-US" w:eastAsia="en-US"/>
        </w:rPr>
        <w:t>9</w:t>
      </w:r>
      <w:r>
        <w:rPr>
          <w:rFonts w:ascii="Times New Roman" w:hAnsi="Times New Roman"/>
          <w:sz w:val="24"/>
          <w:szCs w:val="20"/>
          <w:lang w:val="en-US" w:bidi="en-US" w:eastAsia="en-US"/>
        </w:rPr>
        <w:t>-1-11(6)</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Rhonda Purkapile</cp:lastModifiedBy>
  <dcterms:modified xsi:type="dcterms:W3CDTF">2021-06-02T18:19:55Z</dcterms:modified>
  <cp:revision>10</cp:revision>
</cp:coreProperties>
</file>