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Definitions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Terms defined in SDCL 34-20G-1 have the same meaning when used in this article. </w:t>
      </w:r>
      <w:r>
        <w:rPr>
          <w:rFonts w:ascii="Times New Roman" w:hAnsi="Times New Roman"/>
          <w:sz w:val="24"/>
          <w:lang w:val="en-US" w:bidi="en-US" w:eastAsia="en-US"/>
        </w:rPr>
        <w:t>Terms</w:t>
      </w:r>
      <w:r>
        <w:rPr>
          <w:rFonts w:ascii="Times New Roman" w:hAnsi="Times New Roman"/>
          <w:sz w:val="24"/>
        </w:rPr>
        <w:t xml:space="preserve"> used in this article</w:t>
      </w:r>
      <w:r>
        <w:rPr>
          <w:rFonts w:ascii="Times New Roman" w:hAnsi="Times New Roman"/>
          <w:sz w:val="24"/>
          <w:lang w:val="en-US" w:bidi="en-US" w:eastAsia="en-US"/>
        </w:rPr>
        <w:t xml:space="preserve"> mean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(1)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Action level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level of a contaminate that triggers action to prohibit a cannabis product from being sold;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Age-restricted cardholder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</w:t>
      </w:r>
      <w:bookmarkStart w:id="0" w:name="_Hlk81396471"/>
      <w:r>
        <w:rPr>
          <w:rFonts w:ascii="Times New Roman" w:hAnsi="Times New Roman"/>
          <w:sz w:val="24"/>
        </w:rPr>
        <w:t xml:space="preserve">cardholder or nonresident cardholder who is under </w:t>
      </w:r>
      <w:r>
        <w:rPr>
          <w:rFonts w:ascii="Times New Roman" w:hAnsi="Times New Roman"/>
          <w:sz w:val="24"/>
          <w:lang w:val="en-US" w:bidi="en-US" w:eastAsia="en-US"/>
        </w:rPr>
        <w:t>eighteen</w:t>
      </w:r>
      <w:r>
        <w:rPr>
          <w:rFonts w:ascii="Times New Roman" w:hAnsi="Times New Roman"/>
          <w:sz w:val="24"/>
        </w:rPr>
        <w:t xml:space="preserve"> years of age or who is </w:t>
      </w:r>
      <w:bookmarkEnd w:id="0"/>
      <w:r>
        <w:rPr>
          <w:rFonts w:ascii="Times New Roman" w:hAnsi="Times New Roman"/>
          <w:sz w:val="24"/>
          <w:lang w:val="en-US" w:bidi="en-US" w:eastAsia="en-US"/>
        </w:rPr>
        <w:t>a student as described in § 24:80:02:07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Agent identification badge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credential provided by an establishment for use by an agent while performing work-related duties;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Analyte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chemical, compound, element, bacteria, yeast, fungus, or toxin that is identified or measured by testing;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Analytical test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use of a single technology to detect the presence or concentration of a single analyte on one or more matrices;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(6)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  <w:lang w:val="en-US" w:bidi="en-US" w:eastAsia="en-US"/>
        </w:rPr>
        <w:t>Authorized transfer,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  <w:lang w:val="en-US" w:bidi="en-US" w:eastAsia="en-US"/>
        </w:rPr>
        <w:t xml:space="preserve"> the distribution of cannabis and cannabis products between medical cannabis establishments that is allowable within inventory tracking system procedures;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(7)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  <w:lang w:val="en-US" w:bidi="en-US" w:eastAsia="en-US"/>
        </w:rPr>
        <w:t>Batch,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  <w:lang w:val="en-US" w:bidi="en-US" w:eastAsia="en-US"/>
        </w:rPr>
        <w:t xml:space="preserve"> a specific quantity of: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799" w:left="1799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ab/>
        <w:t>(a)   Cannabis that is the same strain, grown under the same conditions, and harvested during a specified period of time from a specified cultivation area within a cultivation facility, with the exception of trim;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799" w:left="1799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ab/>
        <w:t>(b)   Cannabis products that are produced during a specified period of time using the same extraction or manufacturing method, formulation, or recipe;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(8)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Batch identifier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unique number or code assigned by an establishment to a quantity of cannabis or cannabis products for testing;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(9)  "Cannabinoid," any chemical compound that is an active element of cannabis;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(10)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Cannabis beverage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liquid edible cannabis product with a concentration of less than one milligram of delta-9 tetrahydrocannabinol per ounce of liquid;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(11)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Cannabis extract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resin extracted from any part of a cannabis plant using a liquid or gaseous solvent other than water;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(12)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Cannabis oil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an edible cannabis product using a food-safe oil as the primary noncannabis ingredient and with no added flavors, colors, or scents;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(13)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Cannabis </w:t>
      </w:r>
      <w:r>
        <w:rPr>
          <w:rFonts w:ascii="Times New Roman" w:hAnsi="Times New Roman"/>
          <w:sz w:val="24"/>
          <w:lang w:val="en-US" w:bidi="en-US" w:eastAsia="en-US"/>
        </w:rPr>
        <w:t>testing facility designee,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 person or entity contracted or designated by the testing facility that has documented authorization from the testing facility and has completed the required training for the purposes of sample collection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(14)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Cannabis waste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cannabis flower or trim, cannabis seeds, cannabis products, byproducts containing cannabis, or cannabis plants, excluding stalks without trichomes and root balls, that have been designated for destruction;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(15)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Certificate of analysis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written report of the results of analytical testing, indicating whether the results comply with this article;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(16)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Chain of custody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documentation of the handling of cannabis and cannabis products;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(17)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Concentrated cannabis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cannabis extract or a preparation made by using heat, temperature, or mechanical means to separate cannabinoids from cannabis;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18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Confirmation testing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testing performed by, or at the direction of, the department to determine consistency and accuracy of tests offered by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>cannabis testing facilit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19</w:t>
      </w:r>
      <w:r>
        <w:rPr>
          <w:rFonts w:ascii="Times New Roman" w:hAnsi="Times New Roman"/>
          <w:sz w:val="24"/>
          <w:lang w:val="en-US" w:bidi="en-US" w:eastAsia="en-US"/>
        </w:rPr>
        <w:t>)  "Diversion," the act of selling, gifting, or transferring medical cannabis to a non-cardholder, an unauthorized person, or an unlicensed establishment;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Equivalent cannabis weight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weight, in ounces, that a given quantity of cannabis product counts against the total allowable amount of cannabis under SDCL 34-20G-1(1);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21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Exit packaging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bag, box, or other container for use in transporting cannabis or cannabis products after purchase at a dispensary;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22</w:t>
      </w:r>
      <w:r>
        <w:rPr>
          <w:rFonts w:ascii="Times New Roman" w:hAnsi="Times New Roman"/>
          <w:sz w:val="24"/>
          <w:lang w:val="en-US" w:bidi="en-US" w:eastAsia="en-US"/>
        </w:rPr>
        <w:t>)  "Final form," the condition that cannabis or a cannabis product is in immediately prior to transfer to a medical cannabis establishment and immediately prior to presentation for retail sale;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23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Flower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pistillate reproductive organs of a mature cannabis plant, whether processed or unprocessed, including the flowers and buds of the plant;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24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Immature plant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nonflowering cannabis plant that measures </w:t>
      </w:r>
      <w:r>
        <w:rPr>
          <w:rFonts w:ascii="Times New Roman" w:hAnsi="Times New Roman"/>
          <w:sz w:val="24"/>
          <w:lang w:val="en-US" w:bidi="en-US" w:eastAsia="en-US"/>
        </w:rPr>
        <w:t>twelve</w:t>
      </w:r>
      <w:r>
        <w:rPr>
          <w:rFonts w:ascii="Times New Roman" w:hAnsi="Times New Roman"/>
          <w:sz w:val="24"/>
        </w:rPr>
        <w:t xml:space="preserve"> inches or more from the base of the main plant stalk to the most distant point of the plant's leaf stems or branches;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25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Inhalable cannabis product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cannabis product that is intended to be consumed by inhalation;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26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Inherently hazardous substance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any solvent or chemical, other than ethanol, with a flash point at or lower than </w:t>
      </w:r>
      <w:r>
        <w:rPr>
          <w:rFonts w:ascii="Times New Roman" w:hAnsi="Times New Roman"/>
          <w:sz w:val="24"/>
          <w:lang w:val="en-US" w:bidi="en-US" w:eastAsia="en-US"/>
        </w:rPr>
        <w:t>one hundred</w:t>
      </w:r>
      <w:r>
        <w:rPr>
          <w:rFonts w:ascii="Times New Roman" w:hAnsi="Times New Roman"/>
          <w:sz w:val="24"/>
        </w:rPr>
        <w:t xml:space="preserve"> degrees Fahrenheit;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 xml:space="preserve">(27)  "Inspection," </w:t>
      </w:r>
      <w:r>
        <w:rPr>
          <w:rFonts w:ascii="Times New Roman" w:hAnsi="Times New Roman"/>
          <w:sz w:val="24"/>
        </w:rPr>
        <w:t>an onsite visit, social media monitoring, software desk audit, randomized camera footage viewing, or inventory monitoring, conducted by the department to determine compliance with SDCL chapter 34-20G and this article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28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Inventory record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daily electronic record of all cannabis;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29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Inventory tracking system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an electronic system specified by the department for the purposes of identifying and preventing diversion and protecting patients from unsafe cannabis or cannabis products;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</w:t>
      </w:r>
      <w:r>
        <w:rPr>
          <w:rFonts w:ascii="Times New Roman" w:hAnsi="Times New Roman"/>
          <w:sz w:val="24"/>
          <w:lang w:val="en-US" w:bidi="en-US" w:eastAsia="en-US"/>
        </w:rPr>
        <w:t>0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ISO/IEC 17025 accreditation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accreditation by the International Accreditation Service, the American Association for Laboratory Accreditation, the American National Standards </w:t>
      </w:r>
      <w:r>
        <w:rPr>
          <w:rFonts w:ascii="Times New Roman" w:hAnsi="Times New Roman"/>
          <w:sz w:val="24"/>
          <w:lang w:val="en-US" w:bidi="en-US" w:eastAsia="en-US"/>
        </w:rPr>
        <w:t>Institute's</w:t>
      </w:r>
      <w:r>
        <w:rPr>
          <w:rFonts w:ascii="Times New Roman" w:hAnsi="Times New Roman"/>
          <w:sz w:val="24"/>
        </w:rPr>
        <w:t xml:space="preserve"> National Accreditation Board, or another laboratory accreditation board that the testing facility meets </w:t>
      </w:r>
      <w:r>
        <w:rPr>
          <w:rFonts w:ascii="Times New Roman" w:hAnsi="Times New Roman"/>
          <w:i w:val="1"/>
          <w:sz w:val="24"/>
        </w:rPr>
        <w:t>General Requirements for the Competence of Testing and Calibration Laboratories</w:t>
      </w:r>
      <w:r>
        <w:rPr>
          <w:rFonts w:ascii="Times New Roman" w:hAnsi="Times New Roman"/>
          <w:sz w:val="24"/>
        </w:rPr>
        <w:t xml:space="preserve"> developed by the International Organization for Standardization and the International Electrotechnical Commission for a particular analyte and technology;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Low-income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having a gross monthly household income that is </w:t>
      </w:r>
      <w:r>
        <w:rPr>
          <w:rFonts w:ascii="Times New Roman" w:hAnsi="Times New Roman"/>
          <w:sz w:val="24"/>
          <w:lang w:val="en-US" w:bidi="en-US" w:eastAsia="en-US"/>
        </w:rPr>
        <w:t>one hundred thirty</w:t>
      </w:r>
      <w:r>
        <w:rPr>
          <w:rFonts w:ascii="Times New Roman" w:hAnsi="Times New Roman"/>
          <w:sz w:val="24"/>
        </w:rPr>
        <w:t xml:space="preserve"> percent or less of the federal poverty level as defined by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67:11:01:03;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Marketing layer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outermost layer of a retail sale container predominantly apparent and visible;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Matrix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component or substrate that contains an analyte being tested for;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Mature plant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cannabis plant that has flowered;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(35)  "</w:t>
      </w:r>
      <w:r>
        <w:rPr>
          <w:rFonts w:ascii="Times New Roman" w:hAnsi="Times New Roman"/>
          <w:sz w:val="24"/>
        </w:rPr>
        <w:t>Multiple violations," more than one violation of SDCL chapter 34-20G or this article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(36)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Nationally recognized testing laboratory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an independent laboratory recognized by the Occupational Health and Safety Administration pursuant to 29 C.F.R.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1910.7</w:t>
      </w:r>
      <w:r>
        <w:rPr>
          <w:rFonts w:ascii="Times New Roman" w:hAnsi="Times New Roman"/>
          <w:sz w:val="24"/>
          <w:lang w:val="en-US" w:bidi="en-US" w:eastAsia="en-US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(</w:t>
      </w:r>
      <w:r>
        <w:rPr>
          <w:rFonts w:ascii="Times New Roman" w:hAnsi="Times New Roman"/>
          <w:sz w:val="24"/>
        </w:rPr>
        <w:t>February 18, 2020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(37)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Nonusable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unfit for sale or, except for the purposes of remediation, transfer;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(38)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Remediation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further processing of a batch of cannabis or cannabis products that has failed testing, using a process approved by the department to address the reasons for the failure;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(39)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  <w:lang w:val="en-US" w:bidi="en-US" w:eastAsia="en-US"/>
        </w:rPr>
        <w:t>Representative sample,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  <w:lang w:val="en-US" w:bidi="en-US" w:eastAsia="en-US"/>
        </w:rPr>
        <w:t>amount of cannabis and cannabinoids within the product being consistent and reasonably equally dispersed throughout the product or each portion of the product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(40)  </w:t>
      </w:r>
      <w:r>
        <w:rPr>
          <w:rFonts w:ascii="Times New Roman" w:hAnsi="Times New Roman"/>
          <w:sz w:val="24"/>
        </w:rPr>
        <w:t>"Resealable," the ability to maintain child-resistant effectiveness and preserve the integrity of cannabis products contained within, until each individual serving is consumed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Sample identifier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unique number or code assigned to a sample to be tested by a testing facility, either by the establishment submitting the sample or an agent of the testing facility;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Seedling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nonflowering cannabis plant or rooted cutting that measures less than </w:t>
      </w:r>
      <w:r>
        <w:rPr>
          <w:rFonts w:ascii="Times New Roman" w:hAnsi="Times New Roman"/>
          <w:sz w:val="24"/>
          <w:lang w:val="en-US" w:bidi="en-US" w:eastAsia="en-US"/>
        </w:rPr>
        <w:t>twelve</w:t>
      </w:r>
      <w:r>
        <w:rPr>
          <w:rFonts w:ascii="Times New Roman" w:hAnsi="Times New Roman"/>
          <w:sz w:val="24"/>
        </w:rPr>
        <w:t xml:space="preserve"> inches from the base of the main plant stalk to the most distant point of the plant's leaf stems or branches;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(43)  </w:t>
      </w:r>
      <w:r>
        <w:rPr>
          <w:rFonts w:ascii="Times New Roman" w:hAnsi="Times New Roman"/>
          <w:sz w:val="24"/>
        </w:rPr>
        <w:t>"Serious violation," a violation of SDCL chapter 34-20G or this article that poses a substantial threat to patient health or safety;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Testing sample record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daily electronic record maintained by an establishment of batch identifiers, sample identifiers, and associated information;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  <w:lang w:val="en-US" w:bidi="en-US" w:eastAsia="en-US"/>
        </w:rPr>
        <w:t>)  "Tetrahydrocannabinol," the primary psychoactive cannabinoid found in the Cannabis sativa plant, also known as delta-9;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Tincture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liquid edible cannabis product with a concentration of greater than one milligram of </w:t>
      </w:r>
      <w:r>
        <w:rPr>
          <w:rFonts w:ascii="Times New Roman" w:hAnsi="Times New Roman"/>
          <w:sz w:val="24"/>
          <w:lang w:val="en-US" w:bidi="en-US" w:eastAsia="en-US"/>
        </w:rPr>
        <w:t>tetrahydrocannabinol</w:t>
      </w:r>
      <w:r>
        <w:rPr>
          <w:rFonts w:ascii="Times New Roman" w:hAnsi="Times New Roman"/>
          <w:sz w:val="24"/>
        </w:rPr>
        <w:t xml:space="preserve"> per ounce of liquid in the form of ethanol, propylene glycol, glycerin, or food safe oil;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  <w:lang w:val="en-US" w:bidi="en-US" w:eastAsia="en-US"/>
        </w:rPr>
        <w:t>)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Topical cannabis product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nonedible cannabis product that is intended to be applied externally to the skin;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  <w:lang w:val="en-US" w:bidi="en-US" w:eastAsia="en-US"/>
        </w:rPr>
        <w:t>)  "Total tetrahydrocannabinol," the percentage of cannabis or a cannabis product calculated as the percentage of tetrahydrocannabinolic acid times 0.877 plus the percentage of tetrahydrocannabinol;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</w:t>
      </w:r>
      <w:r>
        <w:rPr>
          <w:rFonts w:ascii="Times New Roman" w:hAnsi="Times New Roman"/>
          <w:sz w:val="24"/>
          <w:lang w:val="en-US" w:bidi="en-US" w:eastAsia="en-US"/>
        </w:rPr>
        <w:t>9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Transaction record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daily electronic record created and maintained by a dispensary to track transactions with patients;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50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Transfer record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 daily electronic record of any acquisition of seeds, seedlings, plants, cannabis, or cannabis products and any transfer of cannabis or cannabis products to another medical cannabis establishment;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51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Trim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trichome-containing leaves of the cannabis plant that have been intentionally removed during cultivation;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)  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>Vaporizer product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>"</w:t>
      </w:r>
      <w:r>
        <w:rPr>
          <w:rFonts w:ascii="Times New Roman" w:hAnsi="Times New Roman"/>
          <w:sz w:val="24"/>
        </w:rPr>
        <w:t xml:space="preserve"> an inhalable cannabis </w:t>
      </w:r>
      <w:r>
        <w:rPr>
          <w:rFonts w:ascii="Times New Roman" w:hAnsi="Times New Roman"/>
          <w:sz w:val="24"/>
          <w:lang w:val="en-US" w:bidi="en-US" w:eastAsia="en-US"/>
        </w:rPr>
        <w:t>pen or cartridge</w:t>
      </w:r>
      <w:r>
        <w:rPr>
          <w:rFonts w:ascii="Times New Roman" w:hAnsi="Times New Roman"/>
          <w:sz w:val="24"/>
        </w:rPr>
        <w:t xml:space="preserve"> containing </w:t>
      </w:r>
      <w:r>
        <w:rPr>
          <w:rFonts w:ascii="Times New Roman" w:hAnsi="Times New Roman"/>
          <w:sz w:val="24"/>
          <w:lang w:val="en-US" w:bidi="en-US" w:eastAsia="en-US"/>
        </w:rPr>
        <w:t xml:space="preserve">only </w:t>
      </w:r>
      <w:r>
        <w:rPr>
          <w:rFonts w:ascii="Times New Roman" w:hAnsi="Times New Roman"/>
          <w:sz w:val="24"/>
        </w:rPr>
        <w:t>concentrated cannabis that is heated below the point of combustion.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48 SDR 40, effective October 5, 2021</w:t>
      </w:r>
      <w:r>
        <w:rPr>
          <w:rFonts w:ascii="Times New Roman" w:hAnsi="Times New Roman"/>
          <w:sz w:val="24"/>
          <w:lang w:val="en-US" w:bidi="en-US" w:eastAsia="en-US"/>
        </w:rPr>
        <w:t>; 49 SDR 9, effective August 8, 2022; 50 SDR 62,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10, effec</w:t>
      </w:r>
      <w:r>
        <w:rPr>
          <w:rFonts w:ascii="Times New Roman" w:hAnsi="Times New Roman"/>
          <w:sz w:val="24"/>
          <w:lang w:val="en-US" w:bidi="en-US" w:eastAsia="en-US"/>
        </w:rPr>
        <w:t>tive August 4, 202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 xml:space="preserve">General Authority: </w:t>
      </w:r>
      <w:r>
        <w:rPr>
          <w:rFonts w:ascii="Times New Roman" w:hAnsi="Times New Roman"/>
          <w:sz w:val="24"/>
        </w:rPr>
        <w:t>SDCL 34-20G-72.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SDCL </w:t>
      </w:r>
      <w:r>
        <w:rPr>
          <w:rFonts w:ascii="Times New Roman" w:hAnsi="Times New Roman"/>
          <w:sz w:val="24"/>
          <w:lang w:val="en-US" w:bidi="en-US" w:eastAsia="en-US"/>
        </w:rPr>
        <w:t>34-20G-1, 3</w:t>
      </w:r>
      <w:r>
        <w:rPr>
          <w:rFonts w:ascii="Times New Roman" w:hAnsi="Times New Roman"/>
          <w:sz w:val="24"/>
        </w:rPr>
        <w:t>4-20G-72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1" w:name="_GoBack"/>
      <w:bookmarkEnd w:id="1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Style w:val="C2"/>
          <w:rFonts w:ascii="Times New Roman" w:hAnsi="Times New Roman"/>
          <w:color w:val="000000"/>
          <w:sz w:val="24"/>
          <w:u w:val="none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 xml:space="preserve">Reference: </w:t>
      </w:r>
      <w:r>
        <w:rPr>
          <w:rFonts w:ascii="Times New Roman" w:hAnsi="Times New Roman"/>
          <w:sz w:val="24"/>
        </w:rPr>
        <w:t xml:space="preserve">International Organization for Standardization &amp; International Electrotechnical Commission. (2018). </w:t>
      </w:r>
      <w:r>
        <w:rPr>
          <w:rFonts w:ascii="Times New Roman" w:hAnsi="Times New Roman"/>
          <w:i w:val="1"/>
          <w:sz w:val="24"/>
        </w:rPr>
        <w:t>ISO/IEC 17025:2017: General Requirements for the Competence of Testing and Calibration Laboratories.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lang w:val="en-US" w:bidi="en-US" w:eastAsia="en-US"/>
        </w:rPr>
        <w:t xml:space="preserve">Copies may be obtained at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color w:val="000000"/>
            <w:sz w:val="24"/>
            <w:u w:val="none"/>
          </w:rPr>
          <w:t>https://www.iso.org/standard/66912.html</w:t>
        </w:r>
      </w:hyperlink>
      <w:r>
        <w:rPr>
          <w:rStyle w:val="C2"/>
          <w:rFonts w:ascii="Times New Roman" w:hAnsi="Times New Roman"/>
          <w:color w:val="000000"/>
          <w:sz w:val="24"/>
          <w:u w:val="none"/>
        </w:rPr>
        <w:t>. Cost: $138</w:t>
      </w:r>
      <w:r>
        <w:rPr>
          <w:rStyle w:val="C2"/>
          <w:rFonts w:ascii="Times New Roman" w:hAnsi="Times New Roman"/>
          <w:color w:val="000000"/>
          <w:sz w:val="24"/>
          <w:u w:val="none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Style w:val="C2"/>
          <w:rFonts w:ascii="Times New Roman" w:hAnsi="Times New Roman"/>
          <w:color w:val="000000"/>
          <w:sz w:val="24"/>
          <w:u w:val="none"/>
          <w:lang w:val="en-US" w:bidi="en-US" w:eastAsia="en-US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iso.org/standard/66912.html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2025-07-31T18:45:27Z</dcterms:modified>
  <cp:revision>58</cp:revision>
</cp:coreProperties>
</file>