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 xml:space="preserve">Registry identification card </w:t>
      </w:r>
      <w:r>
        <w:rPr>
          <w:rFonts w:ascii="Times New Roman" w:hAnsi="Times New Roman"/>
          <w:b w:val="1"/>
          <w:sz w:val="24"/>
          <w:lang w:val="en-US" w:bidi="en-US" w:eastAsia="en-US"/>
        </w:rPr>
        <w:t>--</w:t>
      </w:r>
      <w:r>
        <w:rPr>
          <w:rFonts w:ascii="Times New Roman" w:hAnsi="Times New Roman"/>
          <w:b w:val="1"/>
          <w:sz w:val="24"/>
        </w:rPr>
        <w:t xml:space="preserve"> Renewal.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qualifying patient, or the qualifying patient’s parents or legal guardian, shall submit a renewal application, with the required fee pursuant to § 44:90:02:17, up to 45 days prior to the expiration of the patient’s registry identification card on a form supplied by the department. A qualifying patient may remove, add, or substitute designated caregivers at the time of renewal on a form supplied by the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2021-10-18T19:44:39Z</dcterms:modified>
  <cp:revision>10</cp:revision>
</cp:coreProperties>
</file>