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 xml:space="preserve">Nonresident registration </w:t>
      </w:r>
      <w:r>
        <w:rPr>
          <w:rFonts w:ascii="Times New Roman" w:hAnsi="Times New Roman"/>
          <w:b w:val="1"/>
          <w:sz w:val="24"/>
          <w:lang w:val="en-US" w:bidi="en-US" w:eastAsia="en-US"/>
        </w:rPr>
        <w:t>--</w:t>
      </w:r>
      <w:r>
        <w:rPr>
          <w:rFonts w:ascii="Times New Roman" w:hAnsi="Times New Roman"/>
          <w:b w:val="1"/>
          <w:sz w:val="24"/>
        </w:rPr>
        <w:t xml:space="preserve"> Registry identification number.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department shall issue to a nonresident cardholder who has met all registration requirements a nonrenewable ten-digit registry identification number, which expires on the earliest of: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One year from the date of issuance of the registry identification number;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The expiration date of the nonresident’s proof of authorization issued by the jurisdiction where the nonresident cardholder resides;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Any earlier expiration date specified by the practitioner’s statement.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The registry identification number is valid at no more than two dispensaries, which must be designated by the nonresident cardholder at the time of registration.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34-20G-72(8).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34-20G-1(19), 34-20G-72(8).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2021-10-18T19:51:44Z</dcterms:modified>
  <cp:revision>10</cp:revision>
</cp:coreProperties>
</file>