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 xml:space="preserve">Certificate location transfer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</w:rPr>
        <w:t xml:space="preserve"> Application.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An application for the transfer of a registration certificate to a different physical location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A completed change of location form;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Documentation that establishment is operating in substantial compliance with its department-approved operating procedures or that circumstances beyond its control prevented such operation;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Diagrams of all locations in which cannabis will be cultivated, harvested, dried, stored, manufactured, or destroyed;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 detailed description of any changes to operating procedures, or a certification that no such changes exist;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Certification of compliance with all applicable local zoning requirements;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</w:t>
      </w:r>
      <w:r>
        <w:rPr>
          <w:rFonts w:ascii="Times New Roman" w:hAnsi="Times New Roman"/>
          <w:sz w:val="24"/>
        </w:rPr>
        <w:t>Copies of all required registration, licenses, or permits reflecting the establishment’s new address.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Nothing in this section shall be interpreted to require a city or county to issue a registration, license or permit to operate at the new address.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34-20G-55(1), 34-20G-57, 34-20G-61.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2021-10-18T20:03:20Z</dcterms:modified>
  <cp:revision>10</cp:revision>
</cp:coreProperties>
</file>