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:90:03:12.</w:t>
      </w:r>
      <w:r>
        <w:rPr>
          <w:rFonts w:ascii="Times New Roman" w:hAnsi="Times New Roman"/>
          <w:b w:val="1"/>
          <w:sz w:val="24"/>
          <w:szCs w:val="20"/>
        </w:rPr>
        <w:t>  </w:t>
      </w:r>
      <w:r>
        <w:rPr>
          <w:rFonts w:ascii="Times New Roman" w:hAnsi="Times New Roman"/>
          <w:b w:val="1"/>
          <w:sz w:val="24"/>
        </w:rPr>
        <w:t>Deadline to submit initial applications for establishments.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department shall accept applications on a rolling basis, except that applications to locate an establishment in a city or county that has limited the number of medical cannabis establishments must be submitted: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 xml:space="preserve">By November 1, 2021, if the limit was enacted prior to October 1, 2021; or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Within 90 days of the effective date of a limit enacted on or after October 1,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34-20G-55(1).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2021-10-04T14:11:31Z</dcterms:modified>
  <cp:revision>8</cp:revision>
</cp:coreProperties>
</file>