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03</w:t>
      </w:r>
      <w:r>
        <w:rPr>
          <w:rFonts w:ascii="Times New Roman" w:hAnsi="Times New Roman"/>
          <w:b w:val="1"/>
          <w:sz w:val="24"/>
          <w:szCs w:val="20"/>
        </w:rPr>
        <w:t>:</w:t>
      </w:r>
      <w:r>
        <w:rPr>
          <w:rFonts w:ascii="Times New Roman" w:hAnsi="Times New Roman"/>
          <w:b w:val="1"/>
          <w:sz w:val="24"/>
          <w:szCs w:val="20"/>
          <w:lang w:val="en-US" w:bidi="en-US" w:eastAsia="en-US"/>
        </w:rPr>
        <w:t>15</w:t>
      </w:r>
      <w:r>
        <w:rPr>
          <w:rFonts w:ascii="Times New Roman" w:hAnsi="Times New Roman"/>
          <w:b w:val="1"/>
          <w:sz w:val="24"/>
          <w:szCs w:val="20"/>
        </w:rPr>
        <w:t>.  Department review of competitive applications -- Scoring criteria.</w:t>
      </w:r>
      <w:r>
        <w:rPr>
          <w:rFonts w:ascii="Times New Roman" w:hAnsi="Times New Roman"/>
          <w:sz w:val="24"/>
          <w:szCs w:val="20"/>
        </w:rPr>
        <w:t xml:space="preserve"> </w:t>
      </w:r>
      <w:r>
        <w:rPr>
          <w:rFonts w:ascii="Times New Roman" w:hAnsi="Times New Roman"/>
          <w:sz w:val="24"/>
        </w:rPr>
        <w:t>In a case in which more medical cannabis establishments apply than are allowed by a local government, the department shall numerically score competitive applications according to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The local government, in response to the department’s inquiry, has endorsed the application as beneficial to the community (1 point</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The local government has not informed the department that the location specified in the application is unsuitable for the proposed use due to zoning regulations or inaccessibility to the public (1 point);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All principal officers and board members have certified that they have not, in the previous ten years, in any United States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ab/>
        <w:tab/>
        <w:t>(a)  </w:t>
      </w:r>
      <w:r>
        <w:rPr>
          <w:rFonts w:ascii="Times New Roman" w:hAnsi="Times New Roman"/>
          <w:sz w:val="24"/>
          <w:szCs w:val="20"/>
        </w:rPr>
        <w:t>Been convicted of a criminal offense involving fraud or false statements to a unit of government (1 point);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ab/>
        <w:tab/>
        <w:t>(b)  </w:t>
      </w:r>
      <w:r>
        <w:rPr>
          <w:rFonts w:ascii="Times New Roman" w:hAnsi="Times New Roman"/>
          <w:sz w:val="24"/>
          <w:szCs w:val="20"/>
        </w:rPr>
        <w:t>Served as a principal officer or board member of any business that has had a license or permit suspended or revoked for violations of laws or regulations relating to cannabis, alcohol, tobacco, or gaming (1 point);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(4)  </w:t>
      </w:r>
      <w:r>
        <w:rPr>
          <w:rFonts w:ascii="Times New Roman" w:hAnsi="Times New Roman"/>
          <w:sz w:val="24"/>
          <w:szCs w:val="20"/>
        </w:rPr>
        <w:t>The applicant has submitted a floorplan with sufficient detail to enable the department to determine where all activities listed in the operating procedures will take place (1 point);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(5)  </w:t>
      </w:r>
      <w:r>
        <w:rPr>
          <w:rFonts w:ascii="Times New Roman" w:hAnsi="Times New Roman"/>
          <w:sz w:val="24"/>
          <w:szCs w:val="20"/>
        </w:rPr>
        <w:t>The applicant has submitted a business plan outlining the details contained in SDCL 34-20G-72(3)(d) (1 point).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34-20G-56, 34-20G-72(3).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2021-10-18T20:46:38Z</dcterms:modified>
  <cp:revision>14</cp:revision>
</cp:coreProperties>
</file>