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44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90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04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18</w:t>
      </w:r>
      <w:r>
        <w:rPr>
          <w:rFonts w:ascii="Times New Roman" w:hAnsi="Times New Roman"/>
          <w:b w:val="1"/>
          <w:sz w:val="24"/>
          <w:szCs w:val="20"/>
        </w:rPr>
        <w:t>.  </w:t>
      </w:r>
      <w:r>
        <w:rPr>
          <w:rFonts w:ascii="Times New Roman" w:hAnsi="Times New Roman"/>
          <w:b w:val="1"/>
          <w:sz w:val="24"/>
          <w:szCs w:val="20"/>
        </w:rPr>
        <w:t>Vehicle requirements -- Establishments.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Establishments shall provide the following information to the department for each vehicle that will be used to transport cannabis or cannabis products, including samples for testing: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(1)  </w:t>
      </w:r>
      <w:r>
        <w:rPr>
          <w:rFonts w:ascii="Times New Roman" w:hAnsi="Times New Roman"/>
          <w:sz w:val="24"/>
          <w:szCs w:val="20"/>
        </w:rPr>
        <w:t>Make, model, and license plate number;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(2)  </w:t>
      </w:r>
      <w:r>
        <w:rPr>
          <w:rFonts w:ascii="Times New Roman" w:hAnsi="Times New Roman"/>
          <w:sz w:val="24"/>
          <w:szCs w:val="20"/>
        </w:rPr>
        <w:t>Proof of a valid automobile insurance policy;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(3)  </w:t>
      </w:r>
      <w:r>
        <w:rPr>
          <w:rFonts w:ascii="Times New Roman" w:hAnsi="Times New Roman"/>
          <w:sz w:val="24"/>
          <w:szCs w:val="20"/>
        </w:rPr>
        <w:t>A description or photos of a secure, opaque, locking compartment to be used to secure cannabis and cannabis products;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(4)  </w:t>
      </w:r>
      <w:r>
        <w:rPr>
          <w:rFonts w:ascii="Times New Roman" w:hAnsi="Times New Roman"/>
          <w:sz w:val="24"/>
          <w:szCs w:val="20"/>
        </w:rPr>
        <w:t>Verification that the vehicle has a functioning alarm system;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(5)  </w:t>
      </w:r>
      <w:r>
        <w:rPr>
          <w:rFonts w:ascii="Times New Roman" w:hAnsi="Times New Roman"/>
          <w:sz w:val="24"/>
          <w:szCs w:val="20"/>
        </w:rPr>
        <w:t>Verification, with photographs as necessary, that the vehicle cannot be identified as transporting cannabis or cannabis products.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Source: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48 SDR 40, effective October 5, 2021.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General Authority: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SDCL 34-20G-72(5)(f).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Law Implemented: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SDCL 34-20G-72(5).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Kelly Thompson</cp:lastModifiedBy>
  <dcterms:modified xsi:type="dcterms:W3CDTF">2021-10-04T15:54:03Z</dcterms:modified>
  <cp:revision>10</cp:revision>
</cp:coreProperties>
</file>