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  <w:szCs w:val="20"/>
        </w:rPr>
        <w:t>.  Transport manifests -- Form and content.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transport manifest is required for all authorized transfers of any amount of cannabis or cannabis products, except retail sales at a dispensary. The transport manifest must contain: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 xml:space="preserve">The name, address, phone number, and license number of the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medical canna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bis </w:t>
      </w:r>
      <w:r>
        <w:rPr>
          <w:rFonts w:ascii="Times New Roman" w:hAnsi="Times New Roman"/>
          <w:sz w:val="24"/>
          <w:szCs w:val="20"/>
        </w:rPr>
        <w:t>establishment transporting the cannabis or cannabis products;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The name, address, phone number, and license number of the establishment receiving the items;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The phone number and web address of the department’s secure verification system;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Description and quantities, either by weight or unit, of all items, including samples, contained in each transport;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</w:rPr>
        <w:t>Date of transport and approximate time of departure and arrival;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  <w:szCs w:val="20"/>
        </w:rPr>
        <w:t>Vehicle make, model and license plate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  <w:szCs w:val="20"/>
        </w:rPr>
        <w:t>The name and signature of driver and any other agent accompanying the transport;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  <w:szCs w:val="20"/>
        </w:rPr>
        <w:t>The name and signature of the person accepting the transport, upon delivery.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40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; 49 SDR 9,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effective August 8,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34-20G-72(5)(f)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(j)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34-20G-63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2022-08-02T16:06:47Z</dcterms:modified>
  <cp:revision>17</cp:revision>
</cp:coreProperties>
</file>