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lang w:val="en-US" w:bidi="en-US" w:eastAsia="en-US"/>
        </w:rPr>
        <w:t>44</w:t>
      </w:r>
      <w:r>
        <w:rPr>
          <w:rFonts w:ascii="Times New Roman" w:hAnsi="Times New Roman"/>
          <w:b w:val="1"/>
          <w:sz w:val="24"/>
          <w:szCs w:val="20"/>
        </w:rPr>
        <w:t>:</w:t>
      </w:r>
      <w:r>
        <w:rPr>
          <w:rFonts w:ascii="Times New Roman" w:hAnsi="Times New Roman"/>
          <w:b w:val="1"/>
          <w:sz w:val="24"/>
          <w:szCs w:val="20"/>
          <w:lang w:val="en-US" w:bidi="en-US" w:eastAsia="en-US"/>
        </w:rPr>
        <w:t>90</w:t>
      </w:r>
      <w:r>
        <w:rPr>
          <w:rFonts w:ascii="Times New Roman" w:hAnsi="Times New Roman"/>
          <w:b w:val="1"/>
          <w:sz w:val="24"/>
          <w:szCs w:val="20"/>
        </w:rPr>
        <w:t>:</w:t>
      </w:r>
      <w:r>
        <w:rPr>
          <w:rFonts w:ascii="Times New Roman" w:hAnsi="Times New Roman"/>
          <w:b w:val="1"/>
          <w:sz w:val="24"/>
          <w:szCs w:val="20"/>
          <w:lang w:val="en-US" w:bidi="en-US" w:eastAsia="en-US"/>
        </w:rPr>
        <w:t>04</w:t>
      </w:r>
      <w:r>
        <w:rPr>
          <w:rFonts w:ascii="Times New Roman" w:hAnsi="Times New Roman"/>
          <w:b w:val="1"/>
          <w:sz w:val="24"/>
          <w:szCs w:val="20"/>
        </w:rPr>
        <w:t>:</w:t>
      </w:r>
      <w:r>
        <w:rPr>
          <w:rFonts w:ascii="Times New Roman" w:hAnsi="Times New Roman"/>
          <w:b w:val="1"/>
          <w:sz w:val="24"/>
          <w:szCs w:val="20"/>
          <w:lang w:val="en-US" w:bidi="en-US" w:eastAsia="en-US"/>
        </w:rPr>
        <w:t>20</w:t>
      </w:r>
      <w:r>
        <w:rPr>
          <w:rFonts w:ascii="Times New Roman" w:hAnsi="Times New Roman"/>
          <w:b w:val="1"/>
          <w:sz w:val="24"/>
          <w:szCs w:val="20"/>
        </w:rPr>
        <w:t>.  </w:t>
      </w:r>
      <w:r>
        <w:rPr>
          <w:rFonts w:ascii="Times New Roman" w:hAnsi="Times New Roman"/>
          <w:b w:val="1"/>
          <w:sz w:val="24"/>
        </w:rPr>
        <w:t>Separate transport manifest required.</w:t>
      </w:r>
      <w:r>
        <w:rPr>
          <w:rFonts w:ascii="Times New Roman" w:hAnsi="Times New Roman"/>
          <w:sz w:val="24"/>
          <w:szCs w:val="20"/>
        </w:rPr>
        <w:t xml:space="preserve"> </w:t>
      </w:r>
      <w:r>
        <w:rPr>
          <w:rFonts w:ascii="Times New Roman" w:hAnsi="Times New Roman"/>
          <w:sz w:val="24"/>
        </w:rPr>
        <w:t>A separate transport manifest shall be prepared for each medical cannabis establishment that will receive cannabis or cannabis products. The vehicle must carry three copies of each transport manifest: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(1)  </w:t>
      </w:r>
      <w:r>
        <w:rPr>
          <w:rFonts w:ascii="Times New Roman" w:hAnsi="Times New Roman"/>
          <w:sz w:val="24"/>
          <w:szCs w:val="20"/>
        </w:rPr>
        <w:t>One for the recipient;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(2)  </w:t>
      </w:r>
      <w:r>
        <w:rPr>
          <w:rFonts w:ascii="Times New Roman" w:hAnsi="Times New Roman"/>
          <w:sz w:val="24"/>
          <w:szCs w:val="20"/>
        </w:rPr>
        <w:t>One to be returned to the originating establishment for the purposes of record keeping;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(3)  </w:t>
      </w:r>
      <w:r>
        <w:rPr>
          <w:rFonts w:ascii="Times New Roman" w:hAnsi="Times New Roman"/>
          <w:sz w:val="24"/>
          <w:szCs w:val="20"/>
        </w:rPr>
        <w:t>One to be provided at the request of law enforcement or an agent of the department, if the vehicle is involved in a traffic stop or collision.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r>
      <w:r>
        <w:rPr>
          <w:rFonts w:ascii="Times New Roman" w:hAnsi="Times New Roman"/>
          <w:sz w:val="24"/>
          <w:szCs w:val="20"/>
        </w:rPr>
        <w:t xml:space="preserve">Any cannabis or cannabis products, including samples, that are refused by the intended recipient must be noted on the transport manifest and noted in the originating establishment’s inventory records after the items are returned.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r>
      <w:r>
        <w:rPr>
          <w:rFonts w:ascii="Times New Roman" w:hAnsi="Times New Roman"/>
          <w:sz w:val="24"/>
          <w:szCs w:val="20"/>
        </w:rPr>
        <w:t xml:space="preserve">A transport manifest may not be altered from the originating establishment except as provided for in this section.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r>
      <w:r>
        <w:rPr>
          <w:rFonts w:ascii="Times New Roman" w:hAnsi="Times New Roman"/>
          <w:sz w:val="24"/>
          <w:szCs w:val="20"/>
        </w:rPr>
        <w:t>The transport manifest does not take the place of a chain-of-custody form that may be required of the establishment.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Source:</w:t>
      </w:r>
      <w:r>
        <w:rPr>
          <w:rFonts w:ascii="Times New Roman" w:hAnsi="Times New Roman"/>
          <w:sz w:val="24"/>
          <w:szCs w:val="20"/>
        </w:rPr>
        <w:t xml:space="preserve"> </w:t>
      </w:r>
      <w:r>
        <w:rPr>
          <w:rFonts w:ascii="Times New Roman" w:hAnsi="Times New Roman"/>
          <w:sz w:val="24"/>
          <w:szCs w:val="20"/>
          <w:lang w:val="en-US" w:bidi="en-US" w:eastAsia="en-US"/>
        </w:rPr>
        <w:t>48 SDR 40, effective October 5, 2021</w:t>
      </w:r>
      <w:r>
        <w:rPr>
          <w:rFonts w:ascii="Times New Roman" w:hAnsi="Times New Roman"/>
          <w:sz w:val="24"/>
          <w:szCs w:val="20"/>
          <w:lang w:val="en-US" w:bidi="en-US" w:eastAsia="en-US"/>
        </w:rPr>
        <w:t>; 49 SDR 9, effective August 8, 2022</w:t>
      </w:r>
      <w:r>
        <w:rPr>
          <w:rFonts w:ascii="Times New Roman" w:hAnsi="Times New Roman"/>
          <w:sz w:val="24"/>
          <w:szCs w:val="20"/>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General Authority:</w:t>
      </w:r>
      <w:r>
        <w:rPr>
          <w:rFonts w:ascii="Times New Roman" w:hAnsi="Times New Roman"/>
          <w:sz w:val="24"/>
          <w:szCs w:val="20"/>
        </w:rPr>
        <w:t xml:space="preserve"> </w:t>
      </w:r>
      <w:r>
        <w:rPr>
          <w:rFonts w:ascii="Times New Roman" w:hAnsi="Times New Roman"/>
          <w:sz w:val="24"/>
        </w:rPr>
        <w:t>SDCL 34-20G-72(5)(f)</w:t>
      </w:r>
      <w:r>
        <w:rPr>
          <w:rFonts w:ascii="Times New Roman" w:hAnsi="Times New Roman"/>
          <w:sz w:val="24"/>
          <w:lang w:val="en-US" w:bidi="en-US" w:eastAsia="en-US"/>
        </w:rPr>
        <w:t>(j)</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Law Implemented:</w:t>
      </w:r>
      <w:r>
        <w:rPr>
          <w:rFonts w:ascii="Times New Roman" w:hAnsi="Times New Roman"/>
          <w:sz w:val="24"/>
          <w:szCs w:val="20"/>
        </w:rPr>
        <w:t xml:space="preserve"> </w:t>
      </w:r>
      <w:r>
        <w:rPr>
          <w:rFonts w:ascii="Times New Roman" w:hAnsi="Times New Roman"/>
          <w:sz w:val="24"/>
        </w:rPr>
        <w:t>SDCL 34-20G-72(5).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Kelly Thompson</cp:lastModifiedBy>
  <dcterms:modified xsi:type="dcterms:W3CDTF">2022-08-02T16:07:39Z</dcterms:modified>
  <cp:revision>12</cp:revision>
</cp:coreProperties>
</file>