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w:t>
      </w:r>
      <w:r>
        <w:rPr>
          <w:rFonts w:ascii="Times New Roman" w:hAnsi="Times New Roman"/>
          <w:b w:val="1"/>
          <w:sz w:val="24"/>
          <w:szCs w:val="20"/>
          <w:lang w:val="en-US" w:bidi="en-US" w:eastAsia="en-US"/>
        </w:rPr>
        <w:t>22</w:t>
      </w:r>
      <w:r>
        <w:rPr>
          <w:rFonts w:ascii="Times New Roman" w:hAnsi="Times New Roman"/>
          <w:b w:val="1"/>
          <w:sz w:val="24"/>
          <w:szCs w:val="20"/>
        </w:rPr>
        <w:t>.  </w:t>
      </w:r>
      <w:r>
        <w:rPr>
          <w:rFonts w:ascii="Times New Roman" w:hAnsi="Times New Roman"/>
          <w:b w:val="1"/>
          <w:sz w:val="24"/>
        </w:rPr>
        <w:t>Conduct during transport.</w:t>
      </w:r>
      <w:r>
        <w:rPr>
          <w:rFonts w:ascii="Times New Roman" w:hAnsi="Times New Roman"/>
          <w:sz w:val="24"/>
          <w:szCs w:val="20"/>
        </w:rPr>
        <w:t xml:space="preserve"> </w:t>
      </w:r>
      <w:r>
        <w:rPr>
          <w:rFonts w:ascii="Times New Roman" w:hAnsi="Times New Roman"/>
          <w:sz w:val="24"/>
        </w:rPr>
        <w:t xml:space="preserve">Only agents of the </w:t>
      </w:r>
      <w:r>
        <w:rPr>
          <w:rFonts w:ascii="Times New Roman" w:hAnsi="Times New Roman"/>
          <w:sz w:val="24"/>
          <w:lang w:val="en-US" w:bidi="en-US" w:eastAsia="en-US"/>
        </w:rPr>
        <w:t xml:space="preserve">medical cannabis </w:t>
      </w:r>
      <w:r>
        <w:rPr>
          <w:rFonts w:ascii="Times New Roman" w:hAnsi="Times New Roman"/>
          <w:sz w:val="24"/>
        </w:rPr>
        <w:t>establishment who are listed on each transport manifest may be in the vehicle. Each agent shall wear an agent identification badge while in the vehicle. Any vehicle transporting cannabis or cannabis products shall travel directly to the destinations listed on transport manifest, making stops only: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(1)  </w:t>
      </w:r>
      <w:r>
        <w:rPr>
          <w:rFonts w:ascii="Times New Roman" w:hAnsi="Times New Roman"/>
          <w:sz w:val="24"/>
          <w:szCs w:val="20"/>
        </w:rPr>
        <w:t>For meals, when the transport lasts more than three hours round trip;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(2)  </w:t>
      </w:r>
      <w:r>
        <w:rPr>
          <w:rFonts w:ascii="Times New Roman" w:hAnsi="Times New Roman"/>
          <w:sz w:val="24"/>
          <w:szCs w:val="20"/>
        </w:rPr>
        <w:t>For rest periods required by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(3)  </w:t>
      </w:r>
      <w:r>
        <w:rPr>
          <w:rFonts w:ascii="Times New Roman" w:hAnsi="Times New Roman"/>
          <w:sz w:val="24"/>
          <w:szCs w:val="20"/>
        </w:rPr>
        <w:t>To refuel;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(4)  </w:t>
      </w:r>
      <w:r>
        <w:rPr>
          <w:rFonts w:ascii="Times New Roman" w:hAnsi="Times New Roman"/>
          <w:sz w:val="24"/>
          <w:szCs w:val="20"/>
        </w:rPr>
        <w:t>Under exigent circumstances, including collisions, traffic stops, mechanical breakdowns, weather emergencies, or medical emergencies.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r>
      <w:r>
        <w:rPr>
          <w:rFonts w:ascii="Times New Roman" w:hAnsi="Times New Roman"/>
          <w:sz w:val="24"/>
          <w:szCs w:val="20"/>
        </w:rPr>
        <w:t>An agent may not remove the cannabis or cannabis products from the vehicle until arrival at the destination listed on the transport manifest, except under exigent circumstances in consultation with the department pursuant to §44:90:04:23.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r>
      <w:r>
        <w:rPr>
          <w:rFonts w:ascii="Times New Roman" w:hAnsi="Times New Roman"/>
          <w:sz w:val="24"/>
          <w:szCs w:val="20"/>
        </w:rPr>
        <w:t>An establishment agent shall make a vehicle used for the transport of cannabis or cannabis products immediately available for inspection upon request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r>
      <w:r>
        <w:rPr>
          <w:rFonts w:ascii="Times New Roman" w:hAnsi="Times New Roman"/>
          <w:sz w:val="24"/>
          <w:szCs w:val="20"/>
        </w:rPr>
        <w:t>Upon law enforcement contact, agents shall provide their agent identification badges and all transport manifests.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r>
        <w:rPr>
          <w:rFonts w:ascii="Times New Roman" w:hAnsi="Times New Roman"/>
          <w:sz w:val="24"/>
          <w:szCs w:val="20"/>
          <w:lang w:val="en-US" w:bidi="en-US" w:eastAsia="en-US"/>
        </w:rPr>
        <w:t>; 49 SDR 9, effective August 8, 2022</w:t>
      </w:r>
      <w:r>
        <w:rPr>
          <w:rFonts w:ascii="Times New Roman" w:hAnsi="Times New Roman"/>
          <w:sz w:val="24"/>
          <w:szCs w:val="20"/>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34-20G-72(5)(f)</w:t>
      </w:r>
      <w:r>
        <w:rPr>
          <w:rFonts w:ascii="Times New Roman" w:hAnsi="Times New Roman"/>
          <w:sz w:val="24"/>
          <w:lang w:val="en-US" w:bidi="en-US" w:eastAsia="en-US"/>
        </w:rPr>
        <w:t>(j)</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34-20G-64,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2022-08-02T16:09:53Z</dcterms:modified>
  <cp:revision>11</cp:revision>
</cp:coreProperties>
</file>