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Safety of cannabis -- Use or presence of prohibited pesticides -- Contaminants.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use or presence at a medical cannabis establishment of any pesticide with an active ingredient not on the approved list is a violation of this article and SDCL chapter 34-20G, and any cannabis to which the pesticide was applied is nonusable.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The knowing use or presence at a medical cannabis establishment of any pesticide containing, as an active ingredient, a synthetic chemical agent not on the approved list is a serious and knowing violation of this article and SDCL chapter 34-20G, and any cannabis to which the pesticide was applied is nonusable.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The knowing use or presence at a medical cannabis establishment of any pesticide listing a nonsynthetic substance prohibited in organic crop production under 7 C.F.R. § 205.602 (December 27, 2018) is a serious and knowing violation of this article and SDCL chapter 34-20G, and any cannabis to which the pesticide was applied is nonusable.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Cannabis is nonusable if it contains a level of any of the following contaminants at or in excess of the action level: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(1)  </w:t>
      </w:r>
      <w:r>
        <w:rPr>
          <w:rFonts w:ascii="Times New Roman" w:hAnsi="Times New Roman"/>
          <w:sz w:val="24"/>
        </w:rPr>
        <w:t>Residual pesticides unless approved by the department: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1165" w:type="dxa"/>
        <w:tblLayout w:type="autofit"/>
        <w:tblLook w:val="04A0"/>
      </w:tblPr>
      <w:tblGrid/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Analyte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Action Level ug/g (ppm)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Abamectin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Azoxystrobin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Bifenazate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Etoxazole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Imazalil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Imidacloprid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Malathion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Myclobutanil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Permethrins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Spinosad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Spiromesifen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Spirotetramat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Tebuconazole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0.4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Any other prohibited synthetic pesticide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</w:tr>
    </w:tbl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(2)  Mycotoxin: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tbl>
      <w:tblPr>
        <w:tblStyle w:val="T2"/>
        <w:tblW w:w="0" w:type="auto"/>
        <w:tblInd w:w="1165" w:type="dxa"/>
        <w:tblLayout w:type="autofit"/>
        <w:tblLook w:val="04A0"/>
      </w:tblPr>
      <w:tblGrid/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Mycotoxin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Action Level ug/kg (parts per billion)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Aflatoxins (B1, B2, G1, G2)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Ochratoxin A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  <w:t>(3)  Microbials: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tbl>
      <w:tblPr>
        <w:tblStyle w:val="T2"/>
        <w:tblW w:w="0" w:type="auto"/>
        <w:tblInd w:w="1165" w:type="dxa"/>
        <w:tblLayout w:type="autofit"/>
        <w:tblLook w:val="04A0"/>
      </w:tblPr>
      <w:tblGrid/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Microbials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Action Level cfu/g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 Aerobic Bacteria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t>10</w:t>
            </w:r>
            <w:r>
              <w:rPr>
                <w:vertAlign w:val="superscript"/>
              </w:rPr>
              <w:t>5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 coli (Shiga toxin-producing E. coli - STEC)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&lt;1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Salmonella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&lt;1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Aspergillus fungi (fumigatus, flavus, terreus, and niger)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&lt;1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Total Yeast and Mold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t>10</w:t>
            </w:r>
            <w:r>
              <w:rPr>
                <w:vertAlign w:val="superscript"/>
              </w:rPr>
              <w:t>4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Bile-tolerant Gram Negative Bacteria</w:t>
            </w:r>
          </w:p>
        </w:tc>
        <w:tc>
          <w:tcPr>
            <w:tcW w:w="40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</w:tr>
    </w:tbl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sz w:val="24"/>
          <w:szCs w:val="20"/>
          <w:lang w:val="en-US" w:bidi="en-US" w:eastAsia="en-US"/>
        </w:rPr>
        <w:t>(4)  Hea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vy metals: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  <w:lang w:val="en-US" w:bidi="en-US" w:eastAsia="en-US"/>
        </w:rPr>
      </w:pPr>
    </w:p>
    <w:tbl>
      <w:tblPr>
        <w:tblStyle w:val="T2"/>
        <w:tblW w:w="8190" w:type="dxa"/>
        <w:tblInd w:w="1165" w:type="dxa"/>
        <w:tblLayout w:type="autofit"/>
        <w:tblLook w:val="04A0"/>
      </w:tblPr>
      <w:tblGrid/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Metals</w:t>
            </w:r>
          </w:p>
        </w:tc>
        <w:tc>
          <w:tcPr>
            <w:tcW w:w="40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Action Level ug/g (parts per million)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Arsenic</w:t>
            </w:r>
          </w:p>
        </w:tc>
        <w:tc>
          <w:tcPr>
            <w:tcW w:w="40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Cadmium</w:t>
            </w:r>
          </w:p>
        </w:tc>
        <w:tc>
          <w:tcPr>
            <w:tcW w:w="40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0.2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</w:t>
            </w:r>
          </w:p>
        </w:tc>
        <w:tc>
          <w:tcPr>
            <w:tcW w:w="40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0.5</w:t>
            </w:r>
          </w:p>
        </w:tc>
      </w:tr>
      <w:tr>
        <w:tc>
          <w:tcPr>
            <w:tcW w:w="4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Mercury</w:t>
            </w:r>
          </w:p>
        </w:tc>
        <w:tc>
          <w:tcPr>
            <w:tcW w:w="405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nil" w:color="auto" w:fill="auto"/>
            <w:hideMark/>
          </w:tcPr>
          <w:p>
            <w:pPr>
              <w:widowControl w:val="0"/>
              <w:spacing w:lineRule="auto" w:line="240" w:after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</w:t>
            </w:r>
          </w:p>
        </w:tc>
      </w:tr>
    </w:tbl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 SDR 40, effective October 5, 2021.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34-20G-72(5)(d)(e).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/>
    </w:pPr>
    <w:rPr>
      <w:lang w:val="en-US" w:eastAsia="en-US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2021-10-04T18:15:07Z</dcterms:modified>
  <cp:revision>18</cp:revision>
</cp:coreProperties>
</file>