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Reporting of test results.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The results of any analytical test of cannabis or cannabis products shall be provided to the cannabis cultivation facility or cannabis product manufacturing facility in the form of a certificate of analysis.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</w:rPr>
        <w:t>The cannabis testing facility shall update, each day by midnight, the inventory tracking system with: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</w:rPr>
        <w:t>All samples collected;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The results of all voluntary and mandatory tests performed, including as applicable a quantitative value and whether the sample has passed or failed the test.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49 SDR 9, effective August 8, 2022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34-20G-72(5)(d)(e)(h)(k)</w:t>
      </w:r>
      <w:r>
        <w:rPr>
          <w:rFonts w:ascii="Times New Roman" w:hAnsi="Times New Roman"/>
          <w:sz w:val="24"/>
          <w:lang w:val="en-US" w:bidi="en-US" w:eastAsia="en-US"/>
        </w:rPr>
        <w:t>(l)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34-20G-63,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2022-08-02T16:23:48Z</dcterms:modified>
  <cp:revision>10</cp:revision>
</cp:coreProperties>
</file>