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44:90:07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CANNABIS PRODUCT MANUFACTURING FACILITIES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44:90:07:01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Manufacturing practices.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44:90:07:02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Work environment.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44:90:07:03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Cannabis product nonusable.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44:90:07:04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Prohibited manufacturing activities.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44:90:07:05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Extraction</w:t>
      </w:r>
      <w:r>
        <w:rPr>
          <w:rFonts w:ascii="Times New Roman" w:hAnsi="Times New Roman"/>
          <w:sz w:val="24"/>
          <w:lang w:val="en-US" w:bidi="en-US" w:eastAsia="en-US"/>
        </w:rPr>
        <w:t xml:space="preserve"> --</w:t>
      </w:r>
      <w:r>
        <w:rPr>
          <w:rFonts w:ascii="Times New Roman" w:hAnsi="Times New Roman"/>
          <w:sz w:val="24"/>
        </w:rPr>
        <w:t xml:space="preserve"> Approved operating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44:90:07:06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Generally safe concentration methods.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44:90:07:07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Potentially hazardous extraction methods.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44:90:07:08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Extraction using inherently hazardous substances.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44:90:07:09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Edible cannabis products.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Kelly Thompson</cp:lastModifiedBy>
  <dcterms:modified xsi:type="dcterms:W3CDTF">2021-10-04T18:58:58Z</dcterms:modified>
  <cp:revision>7</cp:revision>
</cp:coreProperties>
</file>