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lang w:val="en-US" w:bidi="en-US" w:eastAsia="en-US"/>
        </w:rPr>
        <w:t>44</w:t>
      </w:r>
      <w:r>
        <w:rPr>
          <w:rFonts w:ascii="Times New Roman" w:hAnsi="Times New Roman"/>
          <w:b w:val="1"/>
          <w:sz w:val="24"/>
          <w:szCs w:val="20"/>
        </w:rPr>
        <w:t>:</w:t>
      </w:r>
      <w:r>
        <w:rPr>
          <w:rFonts w:ascii="Times New Roman" w:hAnsi="Times New Roman"/>
          <w:b w:val="1"/>
          <w:sz w:val="24"/>
          <w:szCs w:val="20"/>
          <w:lang w:val="en-US" w:bidi="en-US" w:eastAsia="en-US"/>
        </w:rPr>
        <w:t>90</w:t>
      </w:r>
      <w:r>
        <w:rPr>
          <w:rFonts w:ascii="Times New Roman" w:hAnsi="Times New Roman"/>
          <w:b w:val="1"/>
          <w:sz w:val="24"/>
          <w:szCs w:val="20"/>
        </w:rPr>
        <w:t>:</w:t>
      </w:r>
      <w:r>
        <w:rPr>
          <w:rFonts w:ascii="Times New Roman" w:hAnsi="Times New Roman"/>
          <w:b w:val="1"/>
          <w:sz w:val="24"/>
          <w:szCs w:val="20"/>
          <w:lang w:val="en-US" w:bidi="en-US" w:eastAsia="en-US"/>
        </w:rPr>
        <w:t>07</w:t>
      </w:r>
      <w:r>
        <w:rPr>
          <w:rFonts w:ascii="Times New Roman" w:hAnsi="Times New Roman"/>
          <w:b w:val="1"/>
          <w:sz w:val="24"/>
          <w:szCs w:val="20"/>
        </w:rPr>
        <w:t>:</w:t>
      </w:r>
      <w:r>
        <w:rPr>
          <w:rFonts w:ascii="Times New Roman" w:hAnsi="Times New Roman"/>
          <w:b w:val="1"/>
          <w:sz w:val="24"/>
          <w:szCs w:val="20"/>
          <w:lang w:val="en-US" w:bidi="en-US" w:eastAsia="en-US"/>
        </w:rPr>
        <w:t>05</w:t>
      </w:r>
      <w:r>
        <w:rPr>
          <w:rFonts w:ascii="Times New Roman" w:hAnsi="Times New Roman"/>
          <w:b w:val="1"/>
          <w:sz w:val="24"/>
          <w:szCs w:val="20"/>
        </w:rPr>
        <w:t>.  </w:t>
      </w:r>
      <w:r>
        <w:rPr>
          <w:rFonts w:ascii="Times New Roman" w:hAnsi="Times New Roman"/>
          <w:b w:val="1"/>
          <w:sz w:val="24"/>
          <w:szCs w:val="20"/>
        </w:rPr>
        <w:t>Extraction -- Approved operating procedures.</w:t>
      </w:r>
      <w:r>
        <w:rPr>
          <w:rFonts w:ascii="Times New Roman" w:hAnsi="Times New Roman"/>
          <w:sz w:val="24"/>
          <w:szCs w:val="20"/>
        </w:rPr>
        <w:t xml:space="preserve"> </w:t>
      </w:r>
      <w:r>
        <w:rPr>
          <w:rFonts w:ascii="Times New Roman" w:hAnsi="Times New Roman"/>
          <w:sz w:val="24"/>
        </w:rPr>
        <w:t>A cannabis product manufacturing facility shall conform with the standard operating procedures for extraction methods described in its operating procedures and may not extract cannabis using any other methods without prior written approval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lang w:val="en-US" w:bidi="en-US" w:eastAsia="en-US"/>
        </w:rPr>
        <w:tab/>
      </w:r>
      <w:r>
        <w:rPr>
          <w:rFonts w:ascii="Times New Roman" w:hAnsi="Times New Roman"/>
          <w:sz w:val="24"/>
        </w:rPr>
        <w:t>A cannabis product manufacturing facility performing extraction may be subject to inspection by the state fire marshal, local fire department, building inspector, or code enforcement officer to confirm that no health or safety concerns are present, and that the facility complies with all applicable safety standards contained in local ordinance, SDCL chapter 11-10, article 61:15, and chapter 20:44:22.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Source:</w:t>
      </w:r>
      <w:r>
        <w:rPr>
          <w:rFonts w:ascii="Times New Roman" w:hAnsi="Times New Roman"/>
          <w:sz w:val="24"/>
          <w:szCs w:val="20"/>
        </w:rPr>
        <w:t xml:space="preserve"> </w:t>
      </w:r>
      <w:r>
        <w:rPr>
          <w:rFonts w:ascii="Times New Roman" w:hAnsi="Times New Roman"/>
          <w:sz w:val="24"/>
          <w:szCs w:val="20"/>
          <w:lang w:val="en-US" w:bidi="en-US" w:eastAsia="en-US"/>
        </w:rPr>
        <w:t>48 SDR 40, effective October 5,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General Authority:</w:t>
      </w:r>
      <w:r>
        <w:rPr>
          <w:rFonts w:ascii="Times New Roman" w:hAnsi="Times New Roman"/>
          <w:sz w:val="24"/>
          <w:szCs w:val="20"/>
        </w:rPr>
        <w:t xml:space="preserve"> </w:t>
      </w:r>
      <w:r>
        <w:rPr>
          <w:rFonts w:ascii="Times New Roman" w:hAnsi="Times New Roman"/>
          <w:sz w:val="24"/>
        </w:rPr>
        <w:t>SDCL 34-20G-72(5)(e)(h).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Law Implemented:</w:t>
      </w:r>
      <w:r>
        <w:rPr>
          <w:rFonts w:ascii="Times New Roman" w:hAnsi="Times New Roman"/>
          <w:sz w:val="24"/>
          <w:szCs w:val="20"/>
        </w:rPr>
        <w:t xml:space="preserve"> </w:t>
      </w:r>
      <w:r>
        <w:rPr>
          <w:rFonts w:ascii="Times New Roman" w:hAnsi="Times New Roman"/>
          <w:sz w:val="24"/>
        </w:rPr>
        <w:t>SDCL 34-20G-72(5).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bookmarkStart w:id="0" w:name="_GoBack"/>
      <w:bookmarkEnd w:id="0"/>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2"/>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76" w:before="0" w:after="200" w:beforeAutospacing="0" w:afterAutospacing="0"/>
        <w:ind w:firstLine="0" w:left="0" w:right="0"/>
        <w:contextualSpacing w:val="0"/>
        <w:bidi w:val="0"/>
        <w:jc w:val="left"/>
        <w:outlineLvl w:val="9"/>
      </w:pPr>
    </w:pPrDefault>
  </w:docDefaults>
  <w:style w:type="paragraph" w:styleId="P0" w:default="1">
    <w:name w:val="Normal"/>
    <w:qFormat/>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Kumpf, Kevin</dc:creator>
  <dcterms:created xsi:type="dcterms:W3CDTF">2015-11-30T21:41:00Z</dcterms:created>
  <cp:lastModifiedBy>Kelly Thompson</cp:lastModifiedBy>
  <dcterms:modified xsi:type="dcterms:W3CDTF">2021-10-04T19:22:46Z</dcterms:modified>
  <cp:revision>8</cp:revision>
</cp:coreProperties>
</file>