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44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90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09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08</w:t>
      </w:r>
      <w:r>
        <w:rPr>
          <w:rFonts w:ascii="Times New Roman" w:hAnsi="Times New Roman"/>
          <w:b w:val="1"/>
          <w:sz w:val="24"/>
          <w:szCs w:val="20"/>
        </w:rPr>
        <w:t>.  Packaging of samples for testing.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</w:rPr>
        <w:t>All samples of cannabis or cannabis products must be transferred to a testing facility in sealed, child-resistant, and tamper-evident containers that are supplied by a testing facility or that meet criteria specified by a testing facility.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Source: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48 SDR 40, effective October 5, 2021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; 49 SD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R 9, effective August 8, 2022</w:t>
      </w:r>
      <w:r>
        <w:rPr>
          <w:rFonts w:ascii="Times New Roman" w:hAnsi="Times New Roman"/>
          <w:sz w:val="24"/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General Authority: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</w:rPr>
        <w:t>SDCL 34-20G-72(5)(f)(k)</w:t>
      </w:r>
      <w:r>
        <w:rPr>
          <w:rFonts w:ascii="Times New Roman" w:hAnsi="Times New Roman"/>
          <w:sz w:val="24"/>
          <w:lang w:val="en-US" w:bidi="en-US" w:eastAsia="en-US"/>
        </w:rPr>
        <w:t>(l)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Law Implemented: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</w:rPr>
        <w:t>SDCL 34-20G-72(5).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Kelly Thompson</cp:lastModifiedBy>
  <dcterms:modified xsi:type="dcterms:W3CDTF">2022-08-02T20:33:45Z</dcterms:modified>
  <cp:revision>9</cp:revision>
</cp:coreProperties>
</file>