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11</w:t>
      </w:r>
      <w:r>
        <w:rPr>
          <w:rFonts w:ascii="Times New Roman" w:hAnsi="Times New Roman"/>
          <w:b w:val="1"/>
          <w:sz w:val="24"/>
          <w:szCs w:val="20"/>
        </w:rPr>
        <w:t>:</w:t>
      </w:r>
      <w:r>
        <w:rPr>
          <w:rFonts w:ascii="Times New Roman" w:hAnsi="Times New Roman"/>
          <w:b w:val="1"/>
          <w:sz w:val="24"/>
          <w:szCs w:val="20"/>
          <w:lang w:val="en-US" w:bidi="en-US" w:eastAsia="en-US"/>
        </w:rPr>
        <w:t>09</w:t>
      </w:r>
      <w:r>
        <w:rPr>
          <w:rFonts w:ascii="Times New Roman" w:hAnsi="Times New Roman"/>
          <w:b w:val="1"/>
          <w:sz w:val="24"/>
          <w:szCs w:val="20"/>
        </w:rPr>
        <w:t>.  Dispensary inventory records -- Additional requirements.</w:t>
      </w:r>
      <w:r>
        <w:rPr>
          <w:rFonts w:ascii="Times New Roman" w:hAnsi="Times New Roman"/>
          <w:sz w:val="24"/>
          <w:szCs w:val="20"/>
        </w:rPr>
        <w:t xml:space="preserve"> </w:t>
      </w:r>
      <w:r>
        <w:rPr>
          <w:rFonts w:ascii="Times New Roman" w:hAnsi="Times New Roman"/>
          <w:sz w:val="24"/>
        </w:rPr>
        <w:t>The inventory record of a dispensary must include the type of product, the testing batch identifier, the number of marketing layers, and the quantity of cannabis in each marketing layer, as expressed according to the relevant labeling requirement for all cannabis and cannabis products. The inventory record shall be updated each day of operation to reflect: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Any cannabis</w:t>
      </w:r>
      <w:r>
        <w:rPr>
          <w:rFonts w:ascii="Times New Roman" w:hAnsi="Times New Roman"/>
          <w:sz w:val="24"/>
          <w:szCs w:val="20"/>
        </w:rPr>
        <w:t xml:space="preserve"> or cannabis products received from another establishment;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Sales to qualifying cardholders, which must include the cardholder’s identification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Returns of merchandise from cardholders, whether to be resold, returned to another establishment, or destroyed;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(4)  </w:t>
      </w:r>
      <w:r>
        <w:rPr>
          <w:rFonts w:ascii="Times New Roman" w:hAnsi="Times New Roman"/>
          <w:sz w:val="24"/>
          <w:szCs w:val="20"/>
        </w:rPr>
        <w:t>Transfers to another establishment, including returns;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(5)  </w:t>
      </w:r>
      <w:r>
        <w:rPr>
          <w:rFonts w:ascii="Times New Roman" w:hAnsi="Times New Roman"/>
          <w:sz w:val="24"/>
          <w:szCs w:val="20"/>
        </w:rPr>
        <w:t>Destruction of cannabis.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r>
        <w:rPr>
          <w:rFonts w:ascii="Times New Roman" w:hAnsi="Times New Roman"/>
          <w:sz w:val="24"/>
          <w:szCs w:val="20"/>
          <w:lang w:val="en-US" w:bidi="en-US" w:eastAsia="en-US"/>
        </w:rPr>
        <w:t>; 49 SDR 9, effective August 8, 2022</w:t>
      </w:r>
      <w:r>
        <w:rPr>
          <w:rFonts w:ascii="Times New Roman" w:hAnsi="Times New Roman"/>
          <w:sz w:val="24"/>
          <w:szCs w:val="20"/>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34-20G-72(5)(b)</w:t>
      </w:r>
      <w:r>
        <w:rPr>
          <w:rFonts w:ascii="Times New Roman" w:hAnsi="Times New Roman"/>
          <w:sz w:val="24"/>
          <w:lang w:val="en-US" w:bidi="en-US" w:eastAsia="en-US"/>
        </w:rPr>
        <w:t>(j)</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34-20G-63,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2022-08-03T13:37:27Z</dcterms:modified>
  <cp:revision>11</cp:revision>
</cp:coreProperties>
</file>