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Suspension or revocation of registration certificate for multiple violations.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department may, pursuant to SDCL chapter 1-26 and SDCL 34-20G-81, suspend for up to six months or revoke a registration certificate upon finding that the establishment has committed multiple knowing and negligent violations of this article or SDCL chapter 34-20G</w:t>
      </w:r>
      <w:r>
        <w:rPr>
          <w:rFonts w:ascii="Times New Roman" w:hAnsi="Times New Roman"/>
          <w:sz w:val="24"/>
          <w:shd w:val="clear" w:color="auto" w:fill="FFFFFF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hd w:val="clear" w:color="auto" w:fill="FFFFFF"/>
        </w:rPr>
        <w:t>Upon the discovery of violations that pose an ongoing threat to public health, safety, or welfare, the department may initiate emergency suspension proceedings pursuant to SDCL 1-26-29.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34-20G-72(6), 34-20G-80, 34-20G-81.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2021-10-05T02:41:39Z</dcterms:modified>
  <cp:revision>8</cp:revision>
</cp:coreProperties>
</file>