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44</w:t>
      </w:r>
      <w:r>
        <w:rPr>
          <w:rFonts w:ascii="Times New Roman" w:hAnsi="Times New Roman"/>
          <w:b w:val="1"/>
          <w:sz w:val="24"/>
          <w:szCs w:val="20"/>
        </w:rPr>
        <w:t>:</w:t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90</w:t>
      </w:r>
      <w:r>
        <w:rPr>
          <w:rFonts w:ascii="Times New Roman" w:hAnsi="Times New Roman"/>
          <w:b w:val="1"/>
          <w:sz w:val="24"/>
          <w:szCs w:val="20"/>
        </w:rPr>
        <w:t>:</w:t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12</w:t>
      </w:r>
      <w:r>
        <w:rPr>
          <w:rFonts w:ascii="Times New Roman" w:hAnsi="Times New Roman"/>
          <w:b w:val="1"/>
          <w:sz w:val="24"/>
          <w:szCs w:val="20"/>
        </w:rPr>
        <w:t>:</w:t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07</w:t>
      </w:r>
      <w:r>
        <w:rPr>
          <w:rFonts w:ascii="Times New Roman" w:hAnsi="Times New Roman"/>
          <w:b w:val="1"/>
          <w:sz w:val="24"/>
          <w:szCs w:val="20"/>
        </w:rPr>
        <w:t>.  </w:t>
      </w:r>
      <w:r>
        <w:rPr>
          <w:rFonts w:ascii="Times New Roman" w:hAnsi="Times New Roman"/>
          <w:b w:val="1"/>
          <w:sz w:val="24"/>
        </w:rPr>
        <w:t>Revocation of registry identification card for unauthorized sale.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</w:rPr>
        <w:t xml:space="preserve">Upon a finding that a cardholder sold cannabis to any person who is not authorized to possess cannabis for medical purposes, the department shall </w:t>
      </w:r>
      <w:r>
        <w:rPr>
          <w:rFonts w:ascii="Times New Roman" w:hAnsi="Times New Roman"/>
          <w:sz w:val="24"/>
          <w:shd w:val="clear" w:color="auto" w:fill="FFFFFF"/>
        </w:rPr>
        <w:t xml:space="preserve">initiate emergency suspension proceedings pursuant to SDCL 1-26-29 and notify the cardholder </w:t>
      </w:r>
      <w:r>
        <w:rPr>
          <w:rFonts w:ascii="Times New Roman" w:hAnsi="Times New Roman"/>
          <w:sz w:val="24"/>
        </w:rPr>
        <w:t>in writing of the revocation of the registry identification card, along with notice of the right to appeal pursuant to SDCL chapter 1-26.</w:t>
      </w:r>
      <w:r>
        <w:rPr>
          <w:rFonts w:ascii="Times New Roman" w:hAnsi="Times New Roman"/>
          <w:sz w:val="24"/>
          <w:lang w:val="en-US" w:bidi="en-US" w:eastAsia="en-US"/>
        </w:rPr>
        <w:t xml:space="preserve"> The department shall notify the patient or caregiver of the revocation in writing with a supporting rationale for revocation pursuant to this section.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Source: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48 SDR 40, effective October 5, 2021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; 49 SDR 9, effective August 8, 2022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General Authority: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</w:rPr>
        <w:t>SDCL 34-20G-72(6).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Law Implemented: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</w:rPr>
        <w:t xml:space="preserve">SDCL </w:t>
      </w:r>
      <w:r>
        <w:rPr>
          <w:rFonts w:ascii="Times New Roman" w:hAnsi="Times New Roman"/>
          <w:sz w:val="24"/>
          <w:lang w:val="en-US" w:bidi="en-US" w:eastAsia="en-US"/>
        </w:rPr>
        <w:t xml:space="preserve">34-20G-36, </w:t>
      </w:r>
      <w:r>
        <w:rPr>
          <w:rFonts w:ascii="Times New Roman" w:hAnsi="Times New Roman"/>
          <w:sz w:val="24"/>
        </w:rPr>
        <w:t>34-20G-72(6), 34-20G-83.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Kumpf, Kevin</dc:creator>
  <dcterms:created xsi:type="dcterms:W3CDTF">2015-11-30T21:41:00Z</dcterms:created>
  <cp:lastModifiedBy>Kelly Thompson</cp:lastModifiedBy>
  <dcterms:modified xsi:type="dcterms:W3CDTF">2022-08-03T13:51:57Z</dcterms:modified>
  <cp:revision>9</cp:revision>
</cp:coreProperties>
</file>