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13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Department’s decision.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  <w:shd w:val="clear" w:color="auto" w:fill="FFFFFF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2021; 49 SDR 47, effective November 22, 2022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50 SDR 62, effective November 27, 2023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2023-11-15T22:28:54Z</dcterms:modified>
  <cp:revision>13</cp:revision>
</cp:coreProperties>
</file>