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  <w:lang w:val="en-US" w:bidi="en-US" w:eastAsia="en-US"/>
        </w:rPr>
        <w:t>20</w:t>
      </w:r>
      <w:r>
        <w:rPr>
          <w:rFonts w:ascii="Times New Roman" w:hAnsi="Times New Roman"/>
          <w:b w:val="1"/>
          <w:sz w:val="24"/>
          <w:szCs w:val="20"/>
        </w:rPr>
        <w:t>:</w:t>
      </w:r>
      <w:r>
        <w:rPr>
          <w:rFonts w:ascii="Times New Roman" w:hAnsi="Times New Roman"/>
          <w:b w:val="1"/>
          <w:sz w:val="24"/>
          <w:szCs w:val="20"/>
          <w:lang w:val="en-US" w:bidi="en-US" w:eastAsia="en-US"/>
        </w:rPr>
        <w:t>48</w:t>
      </w:r>
      <w:r>
        <w:rPr>
          <w:rFonts w:ascii="Times New Roman" w:hAnsi="Times New Roman"/>
          <w:b w:val="1"/>
          <w:sz w:val="24"/>
          <w:szCs w:val="20"/>
        </w:rPr>
        <w:t>:</w:t>
      </w:r>
      <w:r>
        <w:rPr>
          <w:rFonts w:ascii="Times New Roman" w:hAnsi="Times New Roman"/>
          <w:b w:val="1"/>
          <w:sz w:val="24"/>
          <w:szCs w:val="20"/>
          <w:lang w:val="en-US" w:bidi="en-US" w:eastAsia="en-US"/>
        </w:rPr>
        <w:t>17</w:t>
      </w:r>
      <w:r>
        <w:rPr>
          <w:rFonts w:ascii="Times New Roman" w:hAnsi="Times New Roman"/>
          <w:b w:val="1"/>
          <w:sz w:val="24"/>
          <w:szCs w:val="20"/>
        </w:rPr>
        <w:t>:</w:t>
      </w:r>
      <w:r>
        <w:rPr>
          <w:rFonts w:ascii="Times New Roman" w:hAnsi="Times New Roman"/>
          <w:b w:val="1"/>
          <w:sz w:val="24"/>
          <w:szCs w:val="20"/>
          <w:lang w:val="en-US" w:bidi="en-US" w:eastAsia="en-US"/>
        </w:rPr>
        <w:t>01</w:t>
      </w:r>
      <w:r>
        <w:rPr>
          <w:rFonts w:ascii="Times New Roman" w:hAnsi="Times New Roman"/>
          <w:b w:val="1"/>
          <w:sz w:val="24"/>
          <w:szCs w:val="20"/>
        </w:rPr>
        <w:t>.  </w:t>
      </w:r>
      <w:r>
        <w:rPr>
          <w:rFonts w:ascii="Times New Roman" w:hAnsi="Times New Roman"/>
          <w:b w:val="1"/>
          <w:sz w:val="24"/>
        </w:rPr>
        <w:t>Program personnel qualifications and duties</w:t>
      </w:r>
      <w:r>
        <w:rPr>
          <w:rFonts w:ascii="Times New Roman" w:hAnsi="Times New Roman"/>
          <w:b w:val="1"/>
          <w:sz w:val="24"/>
          <w:szCs w:val="20"/>
        </w:rPr>
        <w:t>.</w:t>
      </w:r>
      <w:r>
        <w:rPr>
          <w:rFonts w:ascii="Times New Roman" w:hAnsi="Times New Roman"/>
          <w:sz w:val="24"/>
          <w:szCs w:val="20"/>
        </w:rPr>
        <w:t xml:space="preserve"> </w:t>
      </w:r>
      <w:r>
        <w:rPr>
          <w:rFonts w:ascii="Times New Roman" w:hAnsi="Times New Roman"/>
          <w:sz w:val="24"/>
        </w:rPr>
        <w:t xml:space="preserve">The board may employ or contract with individuals to serve as program personnel.  The board’s executive director may appoint a program director who is licensed, or has a privilege to practice, in South Dakota as a health care professional, and possesses knowledge in mental health and substance-use disorders.  The program director shall report to the executive director of the board.  Program personnel duties include: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  <w:lang w:val="en-US" w:bidi="en-US" w:eastAsia="en-US"/>
        </w:rPr>
        <w:tab/>
        <w:t>(1)  </w:t>
      </w:r>
      <w:r>
        <w:rPr>
          <w:rFonts w:ascii="Times New Roman" w:hAnsi="Times New Roman"/>
          <w:sz w:val="24"/>
          <w:szCs w:val="20"/>
        </w:rPr>
        <w:t>Coordinating the evaluation committee;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  <w:lang w:val="en-US" w:bidi="en-US" w:eastAsia="en-US"/>
        </w:rPr>
        <w:tab/>
        <w:t>(2)  </w:t>
      </w:r>
      <w:r>
        <w:rPr>
          <w:rFonts w:ascii="Times New Roman" w:hAnsi="Times New Roman"/>
          <w:sz w:val="24"/>
          <w:szCs w:val="20"/>
        </w:rPr>
        <w:t>Facilitating the application and intake process;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  <w:lang w:val="en-US" w:bidi="en-US" w:eastAsia="en-US"/>
        </w:rPr>
        <w:tab/>
        <w:t>(3)  </w:t>
      </w:r>
      <w:r>
        <w:rPr>
          <w:rFonts w:ascii="Times New Roman" w:hAnsi="Times New Roman"/>
          <w:sz w:val="24"/>
          <w:szCs w:val="20"/>
        </w:rPr>
        <w:t>Developing participation agreements;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  <w:lang w:val="en-US" w:bidi="en-US" w:eastAsia="en-US"/>
        </w:rPr>
        <w:tab/>
        <w:t>(4)  </w:t>
      </w:r>
      <w:r>
        <w:rPr>
          <w:rFonts w:ascii="Times New Roman" w:hAnsi="Times New Roman"/>
          <w:sz w:val="24"/>
          <w:szCs w:val="20"/>
        </w:rPr>
        <w:t>Case managing and coordinating a participant’s compliance and continuing care with a qualified provider;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  <w:lang w:val="en-US" w:bidi="en-US" w:eastAsia="en-US"/>
        </w:rPr>
        <w:tab/>
        <w:t>(5)  </w:t>
      </w:r>
      <w:r>
        <w:rPr>
          <w:rFonts w:ascii="Times New Roman" w:hAnsi="Times New Roman"/>
          <w:sz w:val="24"/>
          <w:szCs w:val="20"/>
        </w:rPr>
        <w:t>Evaluating substance use and mental health treatment programs and health care providers for use by participants;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  <w:lang w:val="en-US" w:bidi="en-US" w:eastAsia="en-US"/>
        </w:rPr>
        <w:tab/>
        <w:t>(6)  </w:t>
      </w:r>
      <w:r>
        <w:rPr>
          <w:rFonts w:ascii="Times New Roman" w:hAnsi="Times New Roman"/>
          <w:sz w:val="24"/>
          <w:szCs w:val="20"/>
        </w:rPr>
        <w:t>Providing written reports to the board; and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  <w:lang w:val="en-US" w:bidi="en-US" w:eastAsia="en-US"/>
        </w:rPr>
        <w:tab/>
        <w:t>(7)  </w:t>
      </w:r>
      <w:r>
        <w:rPr>
          <w:rFonts w:ascii="Times New Roman" w:hAnsi="Times New Roman"/>
          <w:sz w:val="24"/>
          <w:szCs w:val="20"/>
        </w:rPr>
        <w:t>Maintaining participant records pursuant to § 20:48:17:13.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</w:rPr>
        <w:t>Source:</w:t>
      </w:r>
      <w:r>
        <w:rPr>
          <w:rFonts w:ascii="Times New Roman" w:hAnsi="Times New Roman"/>
          <w:sz w:val="24"/>
          <w:szCs w:val="20"/>
        </w:rPr>
        <w:t xml:space="preserve"> 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48 SDR 40, effective Octo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ber 5, 2021</w:t>
      </w:r>
      <w:r>
        <w:rPr>
          <w:rFonts w:ascii="Times New Roman" w:hAnsi="Times New Roman"/>
          <w:sz w:val="24"/>
          <w:szCs w:val="20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</w:rPr>
        <w:t>General Authority:</w:t>
      </w:r>
      <w:r>
        <w:rPr>
          <w:rFonts w:ascii="Times New Roman" w:hAnsi="Times New Roman"/>
          <w:sz w:val="24"/>
          <w:szCs w:val="20"/>
        </w:rPr>
        <w:t xml:space="preserve"> </w:t>
      </w:r>
      <w:r>
        <w:rPr>
          <w:rFonts w:ascii="Times New Roman" w:hAnsi="Times New Roman"/>
          <w:sz w:val="24"/>
        </w:rPr>
        <w:t>SDCL 36-2A-14.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</w:rPr>
        <w:t>Law Implemented:</w:t>
      </w:r>
      <w:r>
        <w:rPr>
          <w:rFonts w:ascii="Times New Roman" w:hAnsi="Times New Roman"/>
          <w:sz w:val="24"/>
          <w:szCs w:val="20"/>
        </w:rPr>
        <w:t xml:space="preserve"> </w:t>
      </w:r>
      <w:r>
        <w:rPr>
          <w:rFonts w:ascii="Times New Roman" w:hAnsi="Times New Roman"/>
          <w:sz w:val="24"/>
        </w:rPr>
        <w:t>SDCL 36-2A-2, 36-9-15, 36-9-16.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bookmarkStart w:id="0" w:name="_GoBack"/>
      <w:bookmarkEnd w:id="0"/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auto"/>
        <w:sz w:val="22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Kumpf, Kevin</dc:creator>
  <dcterms:created xsi:type="dcterms:W3CDTF">2015-11-30T21:41:00Z</dcterms:created>
  <cp:lastModifiedBy>Kelly Thompson</cp:lastModifiedBy>
  <dcterms:modified xsi:type="dcterms:W3CDTF">2021-10-05T04:38:24Z</dcterms:modified>
  <cp:revision>7</cp:revision>
</cp:coreProperties>
</file>