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20</w:t>
      </w:r>
      <w:r>
        <w:rPr>
          <w:rFonts w:ascii="Times New Roman" w:hAnsi="Times New Roman"/>
          <w:b w:val="1"/>
          <w:sz w:val="24"/>
          <w:szCs w:val="20"/>
        </w:rPr>
        <w:t>:</w:t>
      </w:r>
      <w:r>
        <w:rPr>
          <w:rFonts w:ascii="Times New Roman" w:hAnsi="Times New Roman"/>
          <w:b w:val="1"/>
          <w:sz w:val="24"/>
          <w:szCs w:val="20"/>
          <w:lang w:val="en-US" w:bidi="en-US" w:eastAsia="en-US"/>
        </w:rPr>
        <w:t>48</w:t>
      </w:r>
      <w:r>
        <w:rPr>
          <w:rFonts w:ascii="Times New Roman" w:hAnsi="Times New Roman"/>
          <w:b w:val="1"/>
          <w:sz w:val="24"/>
          <w:szCs w:val="20"/>
        </w:rPr>
        <w:t>:</w:t>
      </w:r>
      <w:r>
        <w:rPr>
          <w:rFonts w:ascii="Times New Roman" w:hAnsi="Times New Roman"/>
          <w:b w:val="1"/>
          <w:sz w:val="24"/>
          <w:szCs w:val="20"/>
          <w:lang w:val="en-US" w:bidi="en-US" w:eastAsia="en-US"/>
        </w:rPr>
        <w:t>17</w:t>
      </w:r>
      <w:r>
        <w:rPr>
          <w:rFonts w:ascii="Times New Roman" w:hAnsi="Times New Roman"/>
          <w:b w:val="1"/>
          <w:sz w:val="24"/>
          <w:szCs w:val="20"/>
        </w:rPr>
        <w:t>:</w:t>
      </w:r>
      <w:r>
        <w:rPr>
          <w:rFonts w:ascii="Times New Roman" w:hAnsi="Times New Roman"/>
          <w:b w:val="1"/>
          <w:sz w:val="24"/>
          <w:szCs w:val="20"/>
          <w:lang w:val="en-US" w:bidi="en-US" w:eastAsia="en-US"/>
        </w:rPr>
        <w:t>09</w:t>
      </w:r>
      <w:r>
        <w:rPr>
          <w:rFonts w:ascii="Times New Roman" w:hAnsi="Times New Roman"/>
          <w:b w:val="1"/>
          <w:sz w:val="24"/>
          <w:szCs w:val="20"/>
        </w:rPr>
        <w:t>.  </w:t>
      </w:r>
      <w:r>
        <w:rPr>
          <w:rFonts w:ascii="Times New Roman" w:hAnsi="Times New Roman"/>
          <w:b w:val="1"/>
          <w:sz w:val="24"/>
        </w:rPr>
        <w:t>Toxicology screening.</w:t>
      </w:r>
      <w:r>
        <w:rPr>
          <w:rFonts w:ascii="Times New Roman" w:hAnsi="Times New Roman"/>
          <w:sz w:val="24"/>
          <w:szCs w:val="20"/>
        </w:rPr>
        <w:t xml:space="preserve"> </w:t>
      </w:r>
      <w:r>
        <w:rPr>
          <w:rFonts w:ascii="Times New Roman" w:hAnsi="Times New Roman"/>
          <w:sz w:val="24"/>
        </w:rPr>
        <w:t xml:space="preserve">Participants enrolled for substance use issues shall submit lab specimens for baseline toxicology screening within the first ten days of enrollment in the program to the program’s approved testing vendors in the manner required by the testing vendor. </w:t>
      </w:r>
      <w:r>
        <w:rPr>
          <w:rFonts w:ascii="Times New Roman" w:hAnsi="Times New Roman"/>
          <w:noProof w:val="1"/>
          <w:sz w:val="24"/>
        </w:rPr>
        <w:t>Thereafter, a participant shall submit specimens according to the conditions listed in the participation agreement</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sz w:val="24"/>
        </w:rPr>
        <w:t>Program personnel shall evaluate positive or abnormal toxicology results and may seek review of the results by the evaluation committee or a participant’s approved treatment provider. Failure by a participant to submit specimens as required, or obtaining an abnormal or positive toxicology result, may result in the participant being reported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36-2A-14.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36-2A-9.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2021-10-18T14:42:12Z</dcterms:modified>
  <cp:revision>8</cp:revision>
</cp:coreProperties>
</file>